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60" w:line="219" w:lineRule="auto"/>
        <w:ind w:left="2804"/>
        <w:outlineLvl w:val="0"/>
        <w:rPr>
          <w:sz w:val="30"/>
          <w:szCs w:val="30"/>
        </w:rPr>
      </w:pPr>
      <w:r>
        <w:rPr>
          <w:b/>
          <w:bCs/>
          <w:spacing w:val="-5"/>
          <w:sz w:val="30"/>
          <w:szCs w:val="30"/>
        </w:rPr>
        <w:t>成都宏智仓储有限公司</w:t>
      </w:r>
    </w:p>
    <w:p>
      <w:pPr>
        <w:pStyle w:val="2"/>
        <w:spacing w:before="231" w:line="219" w:lineRule="auto"/>
        <w:ind w:left="1544"/>
        <w:rPr>
          <w:sz w:val="30"/>
          <w:szCs w:val="30"/>
        </w:rPr>
      </w:pPr>
      <w:r>
        <w:rPr>
          <w:b/>
          <w:bCs/>
          <w:spacing w:val="26"/>
          <w:sz w:val="30"/>
          <w:szCs w:val="30"/>
        </w:rPr>
        <w:t>“宏川智慧物流及供应链项目(南区)”</w:t>
      </w:r>
    </w:p>
    <w:p>
      <w:pPr>
        <w:pStyle w:val="2"/>
        <w:spacing w:before="236" w:line="219" w:lineRule="auto"/>
        <w:ind w:left="2804"/>
        <w:rPr>
          <w:sz w:val="30"/>
          <w:szCs w:val="30"/>
        </w:rPr>
      </w:pPr>
      <w:r>
        <w:rPr>
          <w:b/>
          <w:bCs/>
          <w:spacing w:val="-2"/>
          <w:sz w:val="30"/>
          <w:szCs w:val="30"/>
        </w:rPr>
        <w:t>竣工环境保护验收意见</w:t>
      </w:r>
    </w:p>
    <w:p>
      <w:pPr>
        <w:pStyle w:val="2"/>
        <w:spacing w:before="224" w:line="354" w:lineRule="auto"/>
        <w:ind w:right="41" w:firstLine="490"/>
      </w:pPr>
      <w:r>
        <w:rPr>
          <w:spacing w:val="9"/>
        </w:rPr>
        <w:t>2025年7月29日，建设单位成都宏智仓储有限公司主持召开了《宏川智慧</w:t>
      </w:r>
      <w:r>
        <w:rPr>
          <w:spacing w:val="18"/>
        </w:rPr>
        <w:t xml:space="preserve"> </w:t>
      </w:r>
      <w:r>
        <w:rPr>
          <w:spacing w:val="8"/>
        </w:rPr>
        <w:t>物流及供应链项目(南区)》竣工环境保护验收会，对该项目配套建设污染防治</w:t>
      </w:r>
      <w:r>
        <w:rPr>
          <w:spacing w:val="9"/>
        </w:rPr>
        <w:t xml:space="preserve"> </w:t>
      </w:r>
      <w:r>
        <w:rPr>
          <w:spacing w:val="4"/>
        </w:rPr>
        <w:t>设施、措施落实情况和运行效果组织了验收。验收会成立了验收组(</w:t>
      </w:r>
      <w:r>
        <w:rPr>
          <w:spacing w:val="3"/>
        </w:rPr>
        <w:t>名单附</w:t>
      </w:r>
    </w:p>
    <w:p>
      <w:pPr>
        <w:pStyle w:val="2"/>
        <w:spacing w:before="1" w:line="390" w:lineRule="auto"/>
        <w:ind w:right="51"/>
        <w:rPr>
          <w:sz w:val="20"/>
          <w:szCs w:val="20"/>
        </w:rPr>
      </w:pPr>
      <w:r>
        <w:rPr>
          <w:spacing w:val="5"/>
        </w:rPr>
        <w:t>后)。验收组在现场踏勘、资料查阅和听取</w:t>
      </w:r>
      <w:r>
        <w:rPr>
          <w:spacing w:val="4"/>
        </w:rPr>
        <w:t>建设单位的汇报基础上，形成如下验</w:t>
      </w:r>
      <w:r>
        <w:t xml:space="preserve"> </w:t>
      </w:r>
      <w:r>
        <w:rPr>
          <w:spacing w:val="21"/>
          <w:sz w:val="20"/>
          <w:szCs w:val="20"/>
        </w:rPr>
        <w:t>收意见</w:t>
      </w:r>
      <w:r>
        <w:rPr>
          <w:spacing w:val="-49"/>
          <w:sz w:val="20"/>
          <w:szCs w:val="20"/>
        </w:rPr>
        <w:t xml:space="preserve"> </w:t>
      </w:r>
      <w:r>
        <w:rPr>
          <w:spacing w:val="21"/>
          <w:sz w:val="20"/>
          <w:szCs w:val="20"/>
        </w:rPr>
        <w:t>：</w:t>
      </w:r>
    </w:p>
    <w:p>
      <w:pPr>
        <w:pStyle w:val="2"/>
        <w:spacing w:before="15" w:line="219" w:lineRule="auto"/>
        <w:ind w:left="3"/>
        <w:outlineLvl w:val="3"/>
      </w:pPr>
      <w:r>
        <w:rPr>
          <w:b/>
          <w:bCs/>
        </w:rPr>
        <w:t>一、工程建设基本情况</w:t>
      </w:r>
    </w:p>
    <w:p>
      <w:pPr>
        <w:pStyle w:val="2"/>
        <w:spacing w:before="197" w:line="219" w:lineRule="auto"/>
        <w:ind w:left="493"/>
        <w:outlineLvl w:val="3"/>
      </w:pPr>
      <w:r>
        <w:rPr>
          <w:b/>
          <w:bCs/>
          <w:spacing w:val="6"/>
        </w:rPr>
        <w:t>(一)建设地点、规模、主要建设内容</w:t>
      </w:r>
    </w:p>
    <w:p>
      <w:pPr>
        <w:pStyle w:val="2"/>
        <w:spacing w:before="179" w:line="354" w:lineRule="auto"/>
        <w:ind w:right="45" w:firstLine="490"/>
      </w:pPr>
      <w:r>
        <w:rPr>
          <w:spacing w:val="8"/>
        </w:rPr>
        <w:t>成都宏智仓储有限公司位于成都市彭州市石化北路西段成都石油化学工业</w:t>
      </w:r>
      <w:r>
        <w:rPr>
          <w:spacing w:val="11"/>
        </w:rPr>
        <w:t xml:space="preserve"> </w:t>
      </w:r>
      <w:r>
        <w:rPr>
          <w:spacing w:val="21"/>
        </w:rPr>
        <w:t>园，占地90.7亩。项目新建甲类仓库8座(仓库二、三、四</w:t>
      </w:r>
      <w:r>
        <w:rPr>
          <w:spacing w:val="20"/>
        </w:rPr>
        <w:t>、五、七、八、</w:t>
      </w:r>
      <w:r>
        <w:t xml:space="preserve"> </w:t>
      </w:r>
      <w:r>
        <w:rPr>
          <w:spacing w:val="26"/>
        </w:rPr>
        <w:t>九、十</w:t>
      </w:r>
      <w:r>
        <w:rPr>
          <w:spacing w:val="-56"/>
        </w:rPr>
        <w:t xml:space="preserve"> </w:t>
      </w:r>
      <w:r>
        <w:rPr>
          <w:spacing w:val="26"/>
        </w:rPr>
        <w:t>一),乙类库房2座(仓库六、十),丙类库房2座(仓库</w:t>
      </w:r>
      <w:r>
        <w:rPr>
          <w:spacing w:val="-69"/>
        </w:rPr>
        <w:t xml:space="preserve"> </w:t>
      </w:r>
      <w:r>
        <w:rPr>
          <w:spacing w:val="26"/>
        </w:rPr>
        <w:t>一</w:t>
      </w:r>
      <w:r>
        <w:rPr>
          <w:spacing w:val="-56"/>
        </w:rPr>
        <w:t xml:space="preserve"> </w:t>
      </w:r>
      <w:r>
        <w:rPr>
          <w:spacing w:val="26"/>
        </w:rPr>
        <w:t>、十二),</w:t>
      </w:r>
      <w:r>
        <w:t xml:space="preserve">  一个分装车间。同时建设辅助用房、危废暂存间、综合楼等建筑，并配套道路、</w:t>
      </w:r>
      <w:r>
        <w:rPr>
          <w:spacing w:val="8"/>
        </w:rPr>
        <w:t xml:space="preserve"> </w:t>
      </w:r>
      <w:r>
        <w:rPr>
          <w:spacing w:val="29"/>
        </w:rPr>
        <w:t>给排水和变配电、消防水池等辅助工程。储存量</w:t>
      </w:r>
      <w:r>
        <w:rPr>
          <w:spacing w:val="28"/>
        </w:rPr>
        <w:t>为15530t, 年周转量为</w:t>
      </w:r>
      <w:r>
        <w:t xml:space="preserve"> </w:t>
      </w:r>
      <w:r>
        <w:rPr>
          <w:rFonts w:ascii="Times New Roman" w:hAnsi="Times New Roman" w:eastAsia="Times New Roman" w:cs="Times New Roman"/>
          <w:spacing w:val="10"/>
        </w:rPr>
        <w:t xml:space="preserve">93180t,   </w:t>
      </w:r>
      <w:r>
        <w:rPr>
          <w:spacing w:val="10"/>
        </w:rPr>
        <w:t>其中危险化学品243种，非危险化学品44种。主要储存烃类、苯类、</w:t>
      </w:r>
      <w:r>
        <w:rPr>
          <w:spacing w:val="2"/>
        </w:rPr>
        <w:t xml:space="preserve"> </w:t>
      </w:r>
      <w:r>
        <w:rPr>
          <w:spacing w:val="5"/>
        </w:rPr>
        <w:t>酮类、醇类、酯类、醚类等化学品。另外进行少量化学品</w:t>
      </w:r>
      <w:r>
        <w:rPr>
          <w:spacing w:val="4"/>
        </w:rPr>
        <w:t>的分装，建设3条自动</w:t>
      </w:r>
      <w:r>
        <w:t xml:space="preserve"> </w:t>
      </w:r>
      <w:r>
        <w:rPr>
          <w:spacing w:val="22"/>
        </w:rPr>
        <w:t>分装线，年总的分装量为3500吨，主要涉及丙二醇、甘</w:t>
      </w:r>
      <w:r>
        <w:rPr>
          <w:spacing w:val="21"/>
        </w:rPr>
        <w:t>油(丙三醇)、乙二</w:t>
      </w:r>
      <w:r>
        <w:t xml:space="preserve"> 醇、润滑油、</w:t>
      </w:r>
      <w:r>
        <w:rPr>
          <w:rFonts w:ascii="Times New Roman" w:hAnsi="Times New Roman" w:eastAsia="Times New Roman" w:cs="Times New Roman"/>
        </w:rPr>
        <w:t>N-</w:t>
      </w:r>
      <w:r>
        <w:t>甲基吡咯烷酮、甲基丙烯酸[稳定的]、聚醚多元醇，分装的物料</w:t>
      </w:r>
      <w:r>
        <w:rPr>
          <w:spacing w:val="5"/>
        </w:rPr>
        <w:t xml:space="preserve"> </w:t>
      </w:r>
      <w:r>
        <w:rPr>
          <w:spacing w:val="8"/>
        </w:rPr>
        <w:t>均为丙类非危险化学品，每种化学品各500吨，分装生产线为全自动200</w:t>
      </w:r>
      <w:r>
        <w:rPr>
          <w:rFonts w:ascii="Times New Roman" w:hAnsi="Times New Roman" w:eastAsia="Times New Roman" w:cs="Times New Roman"/>
          <w:spacing w:val="7"/>
        </w:rPr>
        <w:t xml:space="preserve">L </w:t>
      </w:r>
      <w:r>
        <w:rPr>
          <w:spacing w:val="7"/>
        </w:rPr>
        <w:t>分装</w:t>
      </w:r>
      <w:r>
        <w:t xml:space="preserve"> </w:t>
      </w:r>
      <w:r>
        <w:rPr>
          <w:spacing w:val="6"/>
        </w:rPr>
        <w:t>机，将30t的</w:t>
      </w:r>
      <w:r>
        <w:t>IsoTank</w:t>
      </w:r>
      <w:r>
        <w:rPr>
          <w:spacing w:val="-48"/>
        </w:rPr>
        <w:t xml:space="preserve"> </w:t>
      </w:r>
      <w:r>
        <w:rPr>
          <w:spacing w:val="6"/>
        </w:rPr>
        <w:t>罐内化学品分装到200L</w:t>
      </w:r>
      <w:r>
        <w:rPr>
          <w:spacing w:val="-42"/>
        </w:rPr>
        <w:t xml:space="preserve"> </w:t>
      </w:r>
      <w:r>
        <w:rPr>
          <w:spacing w:val="6"/>
        </w:rPr>
        <w:t>铁桶。</w:t>
      </w:r>
    </w:p>
    <w:p>
      <w:pPr>
        <w:pStyle w:val="2"/>
        <w:spacing w:before="35" w:line="220" w:lineRule="auto"/>
        <w:ind w:left="493"/>
        <w:outlineLvl w:val="3"/>
      </w:pPr>
      <w:r>
        <w:rPr>
          <w:b/>
          <w:bCs/>
          <w:spacing w:val="9"/>
        </w:rPr>
        <w:t>(二)建设过程及环保审批情况</w:t>
      </w:r>
    </w:p>
    <w:p>
      <w:pPr>
        <w:pStyle w:val="2"/>
        <w:spacing w:before="185" w:line="354" w:lineRule="auto"/>
        <w:ind w:right="218" w:firstLine="490"/>
      </w:pPr>
      <w:r>
        <w:rPr>
          <w:spacing w:val="6"/>
        </w:rPr>
        <w:t>2022年7月，四川省环科源科技有限公司编制完成了《成都宏智仓储有限</w:t>
      </w:r>
      <w:r>
        <w:rPr>
          <w:spacing w:val="18"/>
        </w:rPr>
        <w:t xml:space="preserve"> </w:t>
      </w:r>
      <w:r>
        <w:rPr>
          <w:spacing w:val="15"/>
        </w:rPr>
        <w:t>公司宏川智慧物流及供应链项目(南区)环境影响报告表》。2022年7月27</w:t>
      </w:r>
    </w:p>
    <w:p>
      <w:pPr>
        <w:pStyle w:val="2"/>
        <w:spacing w:before="2" w:line="355" w:lineRule="auto"/>
        <w:ind w:right="83"/>
      </w:pPr>
      <w:r>
        <w:t>日，成都市彭州生态环境局出具关于《成都宏智仓储有限公司宏川智慧物流及供</w:t>
      </w:r>
      <w:r>
        <w:rPr>
          <w:spacing w:val="7"/>
        </w:rPr>
        <w:t xml:space="preserve"> </w:t>
      </w:r>
      <w:r>
        <w:rPr>
          <w:spacing w:val="16"/>
        </w:rPr>
        <w:t>应链项目(南区)环境影响报告表》的批复(彭环审[2022]10号)</w:t>
      </w:r>
      <w:r>
        <w:rPr>
          <w:spacing w:val="15"/>
        </w:rPr>
        <w:t>。2024年1</w:t>
      </w:r>
      <w:r>
        <w:t xml:space="preserve">  </w:t>
      </w:r>
      <w:r>
        <w:rPr>
          <w:spacing w:val="4"/>
        </w:rPr>
        <w:t>月10日，成都宏智仓储有限公司进行了排污登记，登记</w:t>
      </w:r>
      <w:r>
        <w:rPr>
          <w:spacing w:val="3"/>
        </w:rPr>
        <w:t>编号：</w:t>
      </w:r>
    </w:p>
    <w:p>
      <w:pPr>
        <w:pStyle w:val="2"/>
        <w:spacing w:before="46" w:line="180" w:lineRule="auto"/>
      </w:pPr>
      <w:r>
        <w:rPr>
          <w:rFonts w:ascii="Times New Roman" w:hAnsi="Times New Roman" w:eastAsia="Times New Roman" w:cs="Times New Roman"/>
          <w:spacing w:val="-1"/>
        </w:rPr>
        <w:t>91510182MA68DHUW59001Z</w:t>
      </w:r>
      <w:r>
        <w:rPr>
          <w:spacing w:val="-1"/>
        </w:rPr>
        <w:t>。</w:t>
      </w:r>
    </w:p>
    <w:p>
      <w:pPr>
        <w:pStyle w:val="2"/>
        <w:spacing w:before="204" w:line="219" w:lineRule="auto"/>
        <w:ind w:left="490"/>
      </w:pPr>
      <w:r>
        <w:rPr>
          <w:spacing w:val="-1"/>
        </w:rPr>
        <w:t>目前项目主体设施和环保设施运行稳定，符合验收监测条件。</w:t>
      </w:r>
    </w:p>
    <w:p>
      <w:pPr>
        <w:pStyle w:val="2"/>
        <w:spacing w:before="143" w:line="220" w:lineRule="auto"/>
        <w:ind w:left="493"/>
        <w:outlineLvl w:val="3"/>
      </w:pPr>
      <w:r>
        <w:rPr>
          <w:b/>
          <w:bCs/>
          <w:spacing w:val="19"/>
        </w:rPr>
        <w:t>(三)投资情况</w:t>
      </w:r>
    </w:p>
    <w:p>
      <w:pPr>
        <w:spacing w:line="220" w:lineRule="auto"/>
        <w:sectPr>
          <w:footerReference r:id="rId5" w:type="default"/>
          <w:pgSz w:w="11920" w:h="16840"/>
          <w:pgMar w:top="1047" w:right="1788" w:bottom="1192" w:left="1639" w:header="0" w:footer="1057" w:gutter="0"/>
          <w:cols w:space="720" w:num="1"/>
        </w:sectPr>
      </w:pPr>
    </w:p>
    <w:p>
      <w:pPr>
        <w:pStyle w:val="2"/>
        <w:spacing w:before="47" w:line="364" w:lineRule="auto"/>
        <w:ind w:left="55" w:right="166" w:firstLine="399"/>
      </w:pPr>
      <w:r>
        <w:rPr>
          <w:spacing w:val="20"/>
        </w:rPr>
        <w:t>目前项目实际总投资12500万元，其中环保投</w:t>
      </w:r>
      <w:r>
        <w:rPr>
          <w:spacing w:val="19"/>
        </w:rPr>
        <w:t>资1100万元，占总投资的</w:t>
      </w:r>
      <w:r>
        <w:t xml:space="preserve"> </w:t>
      </w:r>
      <w:r>
        <w:rPr>
          <w:rFonts w:ascii="Times New Roman" w:hAnsi="Times New Roman" w:eastAsia="Times New Roman" w:cs="Times New Roman"/>
          <w:spacing w:val="-4"/>
        </w:rPr>
        <w:t>8</w:t>
      </w:r>
      <w:r>
        <w:rPr>
          <w:spacing w:val="-4"/>
        </w:rPr>
        <w:t>.8%。</w:t>
      </w:r>
    </w:p>
    <w:p>
      <w:pPr>
        <w:pStyle w:val="2"/>
        <w:spacing w:line="219" w:lineRule="auto"/>
        <w:ind w:left="538"/>
        <w:outlineLvl w:val="3"/>
      </w:pPr>
      <w:r>
        <w:rPr>
          <w:b/>
          <w:bCs/>
          <w:spacing w:val="19"/>
        </w:rPr>
        <w:t>(四)验收范围</w:t>
      </w:r>
    </w:p>
    <w:p>
      <w:pPr>
        <w:pStyle w:val="2"/>
        <w:spacing w:before="168" w:line="368" w:lineRule="auto"/>
        <w:ind w:left="55" w:right="144" w:firstLine="489"/>
      </w:pPr>
      <w:r>
        <w:rPr>
          <w:spacing w:val="1"/>
        </w:rPr>
        <w:t>成都宏智仓储有限公司主体工程、辅助工程</w:t>
      </w:r>
      <w:r>
        <w:t xml:space="preserve">、办公生活设施、环保工程及其 </w:t>
      </w:r>
      <w:r>
        <w:rPr>
          <w:spacing w:val="-3"/>
        </w:rPr>
        <w:t>他相关建设内容。</w:t>
      </w:r>
    </w:p>
    <w:p>
      <w:pPr>
        <w:pStyle w:val="2"/>
        <w:spacing w:line="220" w:lineRule="auto"/>
        <w:ind w:left="58"/>
        <w:outlineLvl w:val="3"/>
      </w:pPr>
      <w:r>
        <w:rPr>
          <w:b/>
          <w:bCs/>
          <w:spacing w:val="-3"/>
        </w:rPr>
        <w:t>二、工程及环保措施变动情况</w:t>
      </w:r>
    </w:p>
    <w:p>
      <w:pPr>
        <w:pStyle w:val="2"/>
        <w:spacing w:before="166" w:line="356" w:lineRule="auto"/>
        <w:ind w:left="55" w:right="144" w:firstLine="519"/>
      </w:pPr>
      <w:r>
        <w:rPr>
          <w:spacing w:val="15"/>
        </w:rPr>
        <w:t>通过与《成都宏智仓储有限公司宏川智慧物流及</w:t>
      </w:r>
      <w:r>
        <w:rPr>
          <w:spacing w:val="14"/>
        </w:rPr>
        <w:t>供应链项目(南区)环境</w:t>
      </w:r>
      <w:r>
        <w:t xml:space="preserve"> </w:t>
      </w:r>
      <w:r>
        <w:rPr>
          <w:spacing w:val="-1"/>
        </w:rPr>
        <w:t>影响报告表》对比，项目实际建设情况与环评及批复对比，项目变动情况如下：</w:t>
      </w:r>
    </w:p>
    <w:tbl>
      <w:tblPr>
        <w:tblStyle w:val="5"/>
        <w:tblW w:w="86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40"/>
        <w:gridCol w:w="4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840" w:type="dxa"/>
            <w:shd w:val="clear" w:color="auto" w:fill="D3D2DE"/>
            <w:vAlign w:val="top"/>
          </w:tcPr>
          <w:p>
            <w:pPr>
              <w:pStyle w:val="6"/>
              <w:spacing w:before="30" w:line="205" w:lineRule="auto"/>
              <w:ind w:left="1077"/>
            </w:pPr>
            <w:r>
              <w:rPr>
                <w:b/>
                <w:bCs/>
                <w:spacing w:val="-4"/>
              </w:rPr>
              <w:t>环评批复建设内容</w:t>
            </w:r>
          </w:p>
        </w:tc>
        <w:tc>
          <w:tcPr>
            <w:tcW w:w="4780" w:type="dxa"/>
            <w:shd w:val="clear" w:color="auto" w:fill="DADAE5"/>
            <w:vAlign w:val="top"/>
          </w:tcPr>
          <w:p>
            <w:pPr>
              <w:pStyle w:val="6"/>
              <w:spacing w:before="30" w:line="205" w:lineRule="auto"/>
              <w:ind w:left="1758"/>
            </w:pPr>
            <w:r>
              <w:rPr>
                <w:b/>
                <w:bCs/>
                <w:spacing w:val="-5"/>
              </w:rPr>
              <w:t>实际建设内容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840" w:type="dxa"/>
            <w:vAlign w:val="top"/>
          </w:tcPr>
          <w:p>
            <w:pPr>
              <w:pStyle w:val="6"/>
              <w:spacing w:before="30" w:line="202" w:lineRule="auto"/>
              <w:ind w:left="444"/>
            </w:pPr>
            <w:r>
              <w:t>总投资60000万，环保投资800万</w:t>
            </w:r>
          </w:p>
        </w:tc>
        <w:tc>
          <w:tcPr>
            <w:tcW w:w="4780" w:type="dxa"/>
            <w:vAlign w:val="top"/>
          </w:tcPr>
          <w:p>
            <w:pPr>
              <w:pStyle w:val="6"/>
              <w:spacing w:before="30" w:line="202" w:lineRule="auto"/>
              <w:ind w:left="854"/>
            </w:pPr>
            <w:r>
              <w:t>总投资12500万，环保投资1100万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3840" w:type="dxa"/>
            <w:vAlign w:val="top"/>
          </w:tcPr>
          <w:p>
            <w:pPr>
              <w:pStyle w:val="6"/>
              <w:spacing w:before="9" w:line="219" w:lineRule="auto"/>
              <w:ind w:left="174"/>
            </w:pPr>
            <w:r>
              <w:rPr>
                <w:spacing w:val="1"/>
              </w:rPr>
              <w:t>设计最大储存量15530吨，合计物流总</w:t>
            </w:r>
          </w:p>
          <w:p>
            <w:pPr>
              <w:pStyle w:val="6"/>
              <w:spacing w:before="20" w:line="219" w:lineRule="auto"/>
              <w:ind w:left="234"/>
            </w:pPr>
            <w:r>
              <w:rPr>
                <w:spacing w:val="-1"/>
              </w:rPr>
              <w:t>量约为93360吨/年，其中仓库一最大</w:t>
            </w:r>
          </w:p>
          <w:p>
            <w:pPr>
              <w:pStyle w:val="6"/>
              <w:spacing w:before="20" w:line="219" w:lineRule="auto"/>
              <w:ind w:left="334"/>
            </w:pPr>
            <w:r>
              <w:rPr>
                <w:spacing w:val="-1"/>
              </w:rPr>
              <w:t>储存量2845吨，物流总量16740吨/</w:t>
            </w:r>
          </w:p>
          <w:p>
            <w:pPr>
              <w:pStyle w:val="6"/>
              <w:spacing w:before="11" w:line="219" w:lineRule="auto"/>
              <w:ind w:left="234"/>
            </w:pPr>
            <w:r>
              <w:rPr>
                <w:spacing w:val="-1"/>
              </w:rPr>
              <w:t>年，仓库十二最大储存量4550吨，物</w:t>
            </w:r>
          </w:p>
          <w:p>
            <w:pPr>
              <w:pStyle w:val="6"/>
              <w:spacing w:before="11" w:line="219" w:lineRule="auto"/>
              <w:ind w:left="1074"/>
            </w:pPr>
            <w:r>
              <w:rPr>
                <w:spacing w:val="-1"/>
              </w:rPr>
              <w:t>流总量27300吨/年</w:t>
            </w:r>
          </w:p>
        </w:tc>
        <w:tc>
          <w:tcPr>
            <w:tcW w:w="4780" w:type="dxa"/>
            <w:vAlign w:val="top"/>
          </w:tcPr>
          <w:p>
            <w:pPr>
              <w:pStyle w:val="6"/>
              <w:spacing w:before="9" w:line="219" w:lineRule="auto"/>
              <w:ind w:left="285"/>
            </w:pPr>
            <w:r>
              <w:t>最大储存量11651吨，合计物流总量约为69636</w:t>
            </w:r>
          </w:p>
          <w:p>
            <w:pPr>
              <w:pStyle w:val="6"/>
              <w:spacing w:before="20" w:line="219" w:lineRule="auto"/>
              <w:ind w:left="224"/>
            </w:pPr>
            <w:r>
              <w:rPr>
                <w:spacing w:val="1"/>
              </w:rPr>
              <w:t>吨/年，其中仓库一最大储存量1368吨，物</w:t>
            </w:r>
            <w:r>
              <w:t>流总</w:t>
            </w:r>
          </w:p>
          <w:p>
            <w:pPr>
              <w:pStyle w:val="6"/>
              <w:spacing w:before="10" w:line="219" w:lineRule="auto"/>
              <w:ind w:left="224"/>
            </w:pPr>
            <w:r>
              <w:t>量8073吨/年，仓库十二最大储存量2148吨，物</w:t>
            </w:r>
          </w:p>
          <w:p>
            <w:pPr>
              <w:pStyle w:val="6"/>
              <w:spacing w:before="31" w:line="219" w:lineRule="auto"/>
              <w:ind w:left="174"/>
            </w:pPr>
            <w:r>
              <w:rPr>
                <w:spacing w:val="-1"/>
              </w:rPr>
              <w:t>流总量12888吨/年，仓库一和仓库十二最大储存</w:t>
            </w:r>
          </w:p>
          <w:p>
            <w:pPr>
              <w:pStyle w:val="6"/>
              <w:spacing w:before="11" w:line="219" w:lineRule="auto"/>
              <w:ind w:left="594"/>
            </w:pPr>
            <w:r>
              <w:rPr>
                <w:spacing w:val="-1"/>
              </w:rPr>
              <w:t>量及周转量均变小，其余仓库保持不变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3840" w:type="dxa"/>
            <w:vAlign w:val="top"/>
          </w:tcPr>
          <w:p>
            <w:pPr>
              <w:pStyle w:val="6"/>
              <w:spacing w:before="151" w:line="219" w:lineRule="auto"/>
              <w:ind w:left="234"/>
            </w:pPr>
            <w:r>
              <w:t>分装车间设3条自动分装线，对7种丙</w:t>
            </w:r>
          </w:p>
          <w:p>
            <w:pPr>
              <w:pStyle w:val="6"/>
              <w:spacing w:before="10" w:line="219" w:lineRule="auto"/>
              <w:ind w:left="124"/>
            </w:pPr>
            <w:r>
              <w:rPr>
                <w:spacing w:val="-1"/>
              </w:rPr>
              <w:t>类化学品进行分装，每种化学品分装规</w:t>
            </w:r>
          </w:p>
          <w:p>
            <w:pPr>
              <w:pStyle w:val="6"/>
              <w:spacing w:before="37" w:line="216" w:lineRule="auto"/>
              <w:ind w:left="234"/>
            </w:pPr>
            <w:r>
              <w:rPr>
                <w:spacing w:val="-1"/>
              </w:rPr>
              <w:t>模均为500t/a,合计分装规模3500t/a</w:t>
            </w:r>
          </w:p>
        </w:tc>
        <w:tc>
          <w:tcPr>
            <w:tcW w:w="4780" w:type="dxa"/>
            <w:vAlign w:val="top"/>
          </w:tcPr>
          <w:p>
            <w:pPr>
              <w:pStyle w:val="6"/>
              <w:spacing w:before="11" w:line="219" w:lineRule="auto"/>
              <w:ind w:left="285"/>
            </w:pPr>
            <w:r>
              <w:rPr>
                <w:spacing w:val="1"/>
              </w:rPr>
              <w:t>分装车间设1条自动分装线，对7种丙类化学品</w:t>
            </w:r>
          </w:p>
          <w:p>
            <w:pPr>
              <w:pStyle w:val="6"/>
              <w:spacing w:before="17" w:line="216" w:lineRule="auto"/>
              <w:ind w:left="224"/>
            </w:pPr>
            <w:r>
              <w:t>进行分装，每种化学品分装规模均为500t/a,合</w:t>
            </w:r>
          </w:p>
          <w:p>
            <w:pPr>
              <w:pStyle w:val="6"/>
              <w:spacing w:before="27" w:line="219" w:lineRule="auto"/>
              <w:ind w:left="125"/>
            </w:pPr>
            <w:r>
              <w:rPr>
                <w:spacing w:val="-1"/>
              </w:rPr>
              <w:t>计分装规模3500t/a。分装化学品种类及规模及工</w:t>
            </w:r>
          </w:p>
          <w:p>
            <w:pPr>
              <w:pStyle w:val="6"/>
              <w:spacing w:before="50" w:line="200" w:lineRule="auto"/>
              <w:ind w:left="495"/>
            </w:pPr>
            <w:r>
              <w:rPr>
                <w:spacing w:val="-1"/>
              </w:rPr>
              <w:t>艺保持不变。减少的2条分装线不再建设。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8" w:hRule="atLeast"/>
        </w:trPr>
        <w:tc>
          <w:tcPr>
            <w:tcW w:w="3840" w:type="dxa"/>
            <w:vAlign w:val="top"/>
          </w:tcPr>
          <w:p>
            <w:pPr>
              <w:pStyle w:val="6"/>
              <w:spacing w:before="272" w:line="219" w:lineRule="auto"/>
              <w:ind w:left="124"/>
            </w:pPr>
            <w:r>
              <w:t>生产工艺中不需要水，且不在厂区内清</w:t>
            </w:r>
          </w:p>
          <w:p>
            <w:pPr>
              <w:pStyle w:val="6"/>
              <w:spacing w:before="40" w:line="219" w:lineRule="auto"/>
              <w:ind w:left="124"/>
            </w:pPr>
            <w:r>
              <w:rPr>
                <w:spacing w:val="6"/>
              </w:rPr>
              <w:t>洗容器，外排废水主要为生活用污水、</w:t>
            </w:r>
          </w:p>
          <w:p>
            <w:pPr>
              <w:pStyle w:val="6"/>
              <w:spacing w:before="10" w:line="219" w:lineRule="auto"/>
              <w:ind w:left="124"/>
            </w:pPr>
            <w:r>
              <w:t>地面清扫废水、道路清扫废水及初期雨</w:t>
            </w:r>
          </w:p>
          <w:p>
            <w:pPr>
              <w:pStyle w:val="6"/>
              <w:spacing w:before="28" w:line="216" w:lineRule="auto"/>
              <w:ind w:left="444"/>
            </w:pPr>
            <w:r>
              <w:rPr>
                <w:spacing w:val="6"/>
              </w:rPr>
              <w:t>水，外排水量为6096.5m³/a,约</w:t>
            </w:r>
          </w:p>
          <w:p>
            <w:pPr>
              <w:pStyle w:val="6"/>
              <w:spacing w:before="14" w:line="216" w:lineRule="auto"/>
              <w:ind w:left="74"/>
            </w:pPr>
            <w:r>
              <w:rPr>
                <w:spacing w:val="4"/>
              </w:rPr>
              <w:t>18.37m³/d,经自建一体化处理设施处理</w:t>
            </w:r>
          </w:p>
          <w:p>
            <w:pPr>
              <w:pStyle w:val="6"/>
              <w:spacing w:before="27" w:line="219" w:lineRule="auto"/>
              <w:ind w:left="174"/>
            </w:pPr>
            <w:r>
              <w:t>后排入四川石化污水处理厂进行处理。</w:t>
            </w:r>
          </w:p>
        </w:tc>
        <w:tc>
          <w:tcPr>
            <w:tcW w:w="4780" w:type="dxa"/>
            <w:vAlign w:val="top"/>
          </w:tcPr>
          <w:p>
            <w:pPr>
              <w:pStyle w:val="6"/>
              <w:spacing w:before="12" w:line="219" w:lineRule="auto"/>
              <w:ind w:left="224"/>
            </w:pPr>
            <w:r>
              <w:t>生产工艺中不需要水，且不在厂区内清洗容器，</w:t>
            </w:r>
          </w:p>
          <w:p>
            <w:pPr>
              <w:pStyle w:val="6"/>
              <w:spacing w:before="20" w:line="219" w:lineRule="auto"/>
              <w:ind w:left="174"/>
            </w:pPr>
            <w:r>
              <w:rPr>
                <w:spacing w:val="-1"/>
              </w:rPr>
              <w:t>不产生容器清洗废水。仓库正常情况下仅用拖把</w:t>
            </w:r>
          </w:p>
          <w:p>
            <w:pPr>
              <w:pStyle w:val="6"/>
              <w:spacing w:before="30" w:line="219" w:lineRule="auto"/>
              <w:ind w:left="174"/>
            </w:pPr>
            <w:r>
              <w:rPr>
                <w:spacing w:val="1"/>
              </w:rPr>
              <w:t>拖地及少量的道路清扫。外排废水主要为生活用</w:t>
            </w:r>
          </w:p>
          <w:p>
            <w:pPr>
              <w:pStyle w:val="6"/>
              <w:spacing w:before="21" w:line="219" w:lineRule="auto"/>
              <w:ind w:left="285"/>
            </w:pPr>
            <w:r>
              <w:t>污水、地面清扫废水、道路清扫废水及初期雨</w:t>
            </w:r>
          </w:p>
          <w:p>
            <w:pPr>
              <w:pStyle w:val="6"/>
              <w:spacing w:before="8" w:line="216" w:lineRule="auto"/>
              <w:ind w:left="125"/>
            </w:pPr>
            <w:r>
              <w:rPr>
                <w:spacing w:val="7"/>
              </w:rPr>
              <w:t>水，外排水量为6096.5m³/a,约18.37m³/d,经一</w:t>
            </w:r>
          </w:p>
          <w:p>
            <w:pPr>
              <w:pStyle w:val="6"/>
              <w:spacing w:before="56" w:line="218" w:lineRule="auto"/>
              <w:ind w:left="285"/>
            </w:pPr>
            <w:r>
              <w:rPr>
                <w:spacing w:val="1"/>
              </w:rPr>
              <w:t>体化处理设施处理后回用干道路及地面清扫用</w:t>
            </w:r>
          </w:p>
          <w:p>
            <w:pPr>
              <w:pStyle w:val="6"/>
              <w:spacing w:line="216" w:lineRule="auto"/>
              <w:ind w:left="75"/>
            </w:pPr>
            <w:r>
              <w:rPr>
                <w:spacing w:val="7"/>
              </w:rPr>
              <w:t>水，多余部分约2861.8m³/a,即8.59m³/d,排入四</w:t>
            </w:r>
          </w:p>
          <w:p>
            <w:pPr>
              <w:pStyle w:val="6"/>
              <w:spacing w:before="17" w:line="216" w:lineRule="auto"/>
              <w:ind w:left="644"/>
            </w:pPr>
            <w:r>
              <w:t>川石化污水处理厂，外排废水量减少。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3840" w:type="dxa"/>
            <w:vAlign w:val="top"/>
          </w:tcPr>
          <w:p>
            <w:pPr>
              <w:pStyle w:val="6"/>
              <w:spacing w:before="14" w:line="210" w:lineRule="auto"/>
              <w:ind w:left="124"/>
            </w:pPr>
            <w:r>
              <w:rPr>
                <w:spacing w:val="-1"/>
              </w:rPr>
              <w:t>仓库设备减少自动化设备，分装车间减</w:t>
            </w:r>
          </w:p>
          <w:p>
            <w:pPr>
              <w:pStyle w:val="6"/>
              <w:spacing w:line="218" w:lineRule="auto"/>
              <w:ind w:left="1074"/>
            </w:pPr>
            <w:r>
              <w:t>少2台自动分装机。</w:t>
            </w:r>
          </w:p>
        </w:tc>
        <w:tc>
          <w:tcPr>
            <w:tcW w:w="4780" w:type="dxa"/>
            <w:vAlign w:val="top"/>
          </w:tcPr>
          <w:p>
            <w:pPr>
              <w:pStyle w:val="6"/>
              <w:spacing w:before="165" w:line="221" w:lineRule="auto"/>
              <w:ind w:left="1965"/>
            </w:pPr>
            <w:r>
              <w:rPr>
                <w:spacing w:val="4"/>
              </w:rPr>
              <w:t>设备减少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3840" w:type="dxa"/>
            <w:vAlign w:val="top"/>
          </w:tcPr>
          <w:p>
            <w:pPr>
              <w:pStyle w:val="6"/>
              <w:spacing w:before="295" w:line="219" w:lineRule="auto"/>
              <w:ind w:left="124"/>
            </w:pPr>
            <w:r>
              <w:rPr>
                <w:spacing w:val="-1"/>
              </w:rPr>
              <w:t>仓库作业流程中智能出、入库改成人工</w:t>
            </w:r>
          </w:p>
          <w:p>
            <w:pPr>
              <w:pStyle w:val="6"/>
              <w:spacing w:before="20" w:line="219" w:lineRule="auto"/>
              <w:ind w:left="1545"/>
            </w:pPr>
            <w:r>
              <w:rPr>
                <w:spacing w:val="-1"/>
              </w:rPr>
              <w:t>出入库。</w:t>
            </w:r>
          </w:p>
        </w:tc>
        <w:tc>
          <w:tcPr>
            <w:tcW w:w="4780" w:type="dxa"/>
            <w:vAlign w:val="top"/>
          </w:tcPr>
          <w:p>
            <w:pPr>
              <w:pStyle w:val="6"/>
              <w:spacing w:before="14" w:line="219" w:lineRule="auto"/>
              <w:ind w:left="174"/>
            </w:pPr>
            <w:r>
              <w:rPr>
                <w:spacing w:val="1"/>
              </w:rPr>
              <w:t>为减少智能出入库机器人操作失误造成的化学品</w:t>
            </w:r>
          </w:p>
          <w:p>
            <w:pPr>
              <w:pStyle w:val="6"/>
              <w:spacing w:before="22" w:line="219" w:lineRule="auto"/>
              <w:ind w:left="174"/>
            </w:pPr>
            <w:r>
              <w:t>泄漏等风险。减少的设备主要为智能化，自动化</w:t>
            </w:r>
          </w:p>
          <w:p>
            <w:pPr>
              <w:pStyle w:val="6"/>
              <w:spacing w:before="30" w:line="219" w:lineRule="auto"/>
              <w:ind w:left="174"/>
            </w:pPr>
            <w:r>
              <w:t>出入库改为人工出入库，对储存量及周转量无变</w:t>
            </w:r>
          </w:p>
          <w:p>
            <w:pPr>
              <w:pStyle w:val="6"/>
              <w:spacing w:before="1" w:line="221" w:lineRule="auto"/>
              <w:ind w:left="2224"/>
            </w:pPr>
            <w:r>
              <w:rPr>
                <w:spacing w:val="-2"/>
              </w:rPr>
              <w:t>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2" w:hRule="atLeast"/>
        </w:trPr>
        <w:tc>
          <w:tcPr>
            <w:tcW w:w="3840" w:type="dxa"/>
            <w:vAlign w:val="top"/>
          </w:tcPr>
          <w:p>
            <w:pPr>
              <w:pStyle w:val="6"/>
              <w:spacing w:before="16" w:line="219" w:lineRule="auto"/>
              <w:ind w:left="124"/>
            </w:pPr>
            <w:r>
              <w:rPr>
                <w:spacing w:val="-1"/>
              </w:rPr>
              <w:t>全厂按照《成都石油化学工业园区建设</w:t>
            </w:r>
          </w:p>
          <w:p>
            <w:pPr>
              <w:pStyle w:val="6"/>
              <w:spacing w:before="9" w:line="218" w:lineRule="auto"/>
              <w:ind w:left="174"/>
            </w:pPr>
            <w:r>
              <w:t>项目环境准入评估暂行规定》(成石管</w:t>
            </w:r>
          </w:p>
          <w:p>
            <w:pPr>
              <w:pStyle w:val="6"/>
              <w:spacing w:before="24" w:line="219" w:lineRule="auto"/>
              <w:ind w:left="174"/>
            </w:pPr>
            <w:r>
              <w:t>发[2019]13号)、《中国石油天然气集</w:t>
            </w:r>
          </w:p>
          <w:p>
            <w:pPr>
              <w:pStyle w:val="6"/>
              <w:spacing w:before="31" w:line="220" w:lineRule="auto"/>
              <w:ind w:left="384"/>
            </w:pPr>
            <w:r>
              <w:t>团公司企业标准》(Q/SY06519.5-</w:t>
            </w:r>
          </w:p>
          <w:p>
            <w:pPr>
              <w:pStyle w:val="6"/>
              <w:spacing w:before="19" w:line="220" w:lineRule="auto"/>
              <w:ind w:left="95"/>
            </w:pPr>
            <w:r>
              <w:t>2016)(炼油化工工程环境保护工程设</w:t>
            </w:r>
          </w:p>
          <w:p>
            <w:pPr>
              <w:pStyle w:val="6"/>
              <w:spacing w:before="29" w:line="219" w:lineRule="auto"/>
              <w:ind w:left="104"/>
            </w:pPr>
            <w:r>
              <w:rPr>
                <w:spacing w:val="6"/>
              </w:rPr>
              <w:t>计规范第5部分：防止地下水污染)、</w:t>
            </w:r>
          </w:p>
          <w:p>
            <w:pPr>
              <w:pStyle w:val="6"/>
              <w:spacing w:before="30" w:line="217" w:lineRule="auto"/>
              <w:ind w:left="439"/>
            </w:pPr>
            <w:r>
              <w:rPr>
                <w:spacing w:val="-2"/>
              </w:rPr>
              <w:t>《石油化工工程防渗技术规范》</w:t>
            </w:r>
          </w:p>
          <w:p>
            <w:pPr>
              <w:pStyle w:val="6"/>
              <w:spacing w:before="1" w:line="216" w:lineRule="auto"/>
              <w:ind w:left="224"/>
            </w:pPr>
            <w:r>
              <w:t>(GBT50934-2013),要求进行重点防</w:t>
            </w:r>
          </w:p>
          <w:p>
            <w:pPr>
              <w:pStyle w:val="6"/>
              <w:spacing w:before="47" w:line="198" w:lineRule="auto"/>
              <w:ind w:left="1545"/>
            </w:pPr>
            <w:r>
              <w:rPr>
                <w:spacing w:val="-1"/>
              </w:rPr>
              <w:t>渗处理。</w:t>
            </w:r>
          </w:p>
        </w:tc>
        <w:tc>
          <w:tcPr>
            <w:tcW w:w="4780"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8" w:line="219" w:lineRule="auto"/>
              <w:ind w:left="285"/>
            </w:pPr>
            <w:r>
              <w:t>项目绿化带及办公区由重点防渗调整为简单防</w:t>
            </w:r>
          </w:p>
          <w:p>
            <w:pPr>
              <w:pStyle w:val="6"/>
              <w:spacing w:before="22" w:line="219" w:lineRule="auto"/>
              <w:ind w:left="285"/>
            </w:pPr>
            <w:r>
              <w:rPr>
                <w:spacing w:val="-1"/>
              </w:rPr>
              <w:t>渗。针对该变化情况，建设单位已编制论证报</w:t>
            </w:r>
          </w:p>
          <w:p>
            <w:pPr>
              <w:pStyle w:val="6"/>
              <w:spacing w:before="8" w:line="218" w:lineRule="auto"/>
              <w:ind w:left="434"/>
            </w:pPr>
            <w:r>
              <w:t>告，并取得原环评批复专家组长签字意见。</w:t>
            </w:r>
          </w:p>
        </w:tc>
      </w:tr>
    </w:tbl>
    <w:p>
      <w:pPr>
        <w:pStyle w:val="2"/>
        <w:spacing w:before="244" w:line="356" w:lineRule="auto"/>
        <w:ind w:left="134" w:right="73" w:firstLine="479"/>
      </w:pPr>
      <w:r>
        <w:rPr>
          <w:spacing w:val="7"/>
        </w:rPr>
        <w:t>根据生态环境部办公厅文件“关于印发《污染影响类建设项目重大变动清</w:t>
      </w:r>
      <w:r>
        <w:rPr>
          <w:spacing w:val="17"/>
        </w:rPr>
        <w:t xml:space="preserve"> </w:t>
      </w:r>
      <w:r>
        <w:rPr>
          <w:spacing w:val="16"/>
        </w:rPr>
        <w:t>单(试行)》的通知(环办环评函〔2020〕688号)”对比，项目变动不属于重</w:t>
      </w:r>
    </w:p>
    <w:p>
      <w:pPr>
        <w:spacing w:line="356" w:lineRule="auto"/>
        <w:sectPr>
          <w:footerReference r:id="rId6" w:type="default"/>
          <w:pgSz w:w="12260" w:h="17080"/>
          <w:pgMar w:top="1342" w:right="1834" w:bottom="1182" w:left="1795" w:header="0" w:footer="1047" w:gutter="0"/>
          <w:cols w:space="720" w:num="1"/>
        </w:sectPr>
      </w:pPr>
    </w:p>
    <w:p>
      <w:pPr>
        <w:pStyle w:val="2"/>
        <w:spacing w:before="48" w:line="364" w:lineRule="auto"/>
        <w:ind w:left="3" w:right="34"/>
      </w:pPr>
      <w:r>
        <w:rPr>
          <w:b/>
          <w:bCs/>
          <w:spacing w:val="5"/>
        </w:rPr>
        <w:t>大变更，不会加重不利环境影响，因此实际建成工程全部纳入本次竣工环保验</w:t>
      </w:r>
      <w:r>
        <w:rPr>
          <w:spacing w:val="6"/>
        </w:rPr>
        <w:t xml:space="preserve"> </w:t>
      </w:r>
      <w:r>
        <w:rPr>
          <w:b/>
          <w:bCs/>
          <w:spacing w:val="-3"/>
        </w:rPr>
        <w:t>收管理，符合竣工环境保护验收条件。</w:t>
      </w:r>
    </w:p>
    <w:p>
      <w:pPr>
        <w:pStyle w:val="2"/>
        <w:spacing w:before="4" w:line="220" w:lineRule="auto"/>
        <w:ind w:left="3"/>
        <w:outlineLvl w:val="3"/>
      </w:pPr>
      <w:r>
        <w:rPr>
          <w:b/>
          <w:bCs/>
        </w:rPr>
        <w:t>三、环境保护设施建设情况</w:t>
      </w:r>
    </w:p>
    <w:p>
      <w:pPr>
        <w:pStyle w:val="2"/>
        <w:spacing w:before="163" w:line="219" w:lineRule="auto"/>
        <w:ind w:left="603"/>
        <w:outlineLvl w:val="3"/>
      </w:pPr>
      <w:r>
        <w:rPr>
          <w:b/>
          <w:bCs/>
          <w:spacing w:val="2"/>
        </w:rPr>
        <w:t>(</w:t>
      </w:r>
      <w:r>
        <w:rPr>
          <w:spacing w:val="-58"/>
        </w:rPr>
        <w:t xml:space="preserve"> </w:t>
      </w:r>
      <w:r>
        <w:rPr>
          <w:b/>
          <w:bCs/>
          <w:spacing w:val="2"/>
        </w:rPr>
        <w:t>一</w:t>
      </w:r>
      <w:r>
        <w:rPr>
          <w:spacing w:val="-61"/>
        </w:rPr>
        <w:t xml:space="preserve"> </w:t>
      </w:r>
      <w:r>
        <w:rPr>
          <w:b/>
          <w:bCs/>
          <w:spacing w:val="2"/>
        </w:rPr>
        <w:t>)废水</w:t>
      </w:r>
    </w:p>
    <w:p>
      <w:pPr>
        <w:pStyle w:val="2"/>
        <w:spacing w:before="212" w:line="359" w:lineRule="auto"/>
        <w:ind w:right="24" w:firstLine="459"/>
        <w:jc w:val="both"/>
      </w:pPr>
      <w:r>
        <w:rPr>
          <w:spacing w:val="2"/>
        </w:rPr>
        <w:t>项目不产生生产废水。项目设置的分装线，不对设备</w:t>
      </w:r>
      <w:r>
        <w:rPr>
          <w:spacing w:val="1"/>
        </w:rPr>
        <w:t>及管道进行水洗，每种</w:t>
      </w:r>
      <w:r>
        <w:t xml:space="preserve"> </w:t>
      </w:r>
      <w:r>
        <w:rPr>
          <w:spacing w:val="1"/>
        </w:rPr>
        <w:t>分装线分装同一类型的物料，分装物料更换时，采用下一种物料</w:t>
      </w:r>
      <w:r>
        <w:t xml:space="preserve">直接分装，前几 </w:t>
      </w:r>
      <w:r>
        <w:rPr>
          <w:spacing w:val="1"/>
        </w:rPr>
        <w:t>桶分装的物料纯度较低，外卖到对化学品纯度要求不高的厂家。项目不对物料桶 进行清洗，每周定期对仓库地面采用拖地的方式清扫，因此，运营期</w:t>
      </w:r>
      <w:r>
        <w:t xml:space="preserve">产生的废水 </w:t>
      </w:r>
      <w:r>
        <w:rPr>
          <w:spacing w:val="23"/>
        </w:rPr>
        <w:t>主要为地面清洗废水、厂区的初期雨水及员工的生活污水。合计外排水量</w:t>
      </w:r>
      <w:r>
        <w:rPr>
          <w:spacing w:val="12"/>
        </w:rPr>
        <w:t xml:space="preserve"> </w:t>
      </w:r>
      <w:r>
        <w:rPr>
          <w:rFonts w:ascii="Times New Roman" w:hAnsi="Times New Roman" w:eastAsia="Times New Roman" w:cs="Times New Roman"/>
          <w:spacing w:val="4"/>
        </w:rPr>
        <w:t>18.37m³/d</w:t>
      </w:r>
      <w:r>
        <w:rPr>
          <w:rFonts w:ascii="Times New Roman" w:hAnsi="Times New Roman" w:eastAsia="Times New Roman" w:cs="Times New Roman"/>
          <w:spacing w:val="-28"/>
        </w:rPr>
        <w:t xml:space="preserve"> </w:t>
      </w:r>
      <w:r>
        <w:rPr>
          <w:spacing w:val="4"/>
        </w:rPr>
        <w:t>。经厂区自建一体化污水处理站(35</w:t>
      </w:r>
      <w:r>
        <w:rPr>
          <w:rFonts w:ascii="Times New Roman" w:hAnsi="Times New Roman" w:eastAsia="Times New Roman" w:cs="Times New Roman"/>
          <w:spacing w:val="4"/>
        </w:rPr>
        <w:t xml:space="preserve">m³/d,A/O+ </w:t>
      </w:r>
      <w:r>
        <w:rPr>
          <w:rFonts w:ascii="Times New Roman" w:hAnsi="Times New Roman" w:eastAsia="Times New Roman" w:cs="Times New Roman"/>
          <w:spacing w:val="3"/>
        </w:rPr>
        <w:t xml:space="preserve">  </w:t>
      </w:r>
      <w:r>
        <w:rPr>
          <w:spacing w:val="3"/>
        </w:rPr>
        <w:t>多介质过滤+紫外线杀</w:t>
      </w:r>
      <w:r>
        <w:t xml:space="preserve"> </w:t>
      </w:r>
      <w:r>
        <w:rPr>
          <w:spacing w:val="7"/>
        </w:rPr>
        <w:t>菌的组合工艺)处理达到《城市污水再生利用城市杂用水水质》</w:t>
      </w:r>
      <w:r>
        <w:rPr>
          <w:spacing w:val="49"/>
        </w:rPr>
        <w:t xml:space="preserve"> </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/T18920-</w:t>
      </w:r>
      <w:r>
        <w:rPr>
          <w:rFonts w:ascii="Times New Roman" w:hAnsi="Times New Roman" w:eastAsia="Times New Roman" w:cs="Times New Roman"/>
        </w:rPr>
        <w:t xml:space="preserve">   </w:t>
      </w:r>
      <w:r>
        <w:rPr>
          <w:spacing w:val="10"/>
        </w:rPr>
        <w:t>2020)标准后回用于回用于道路及地面清</w:t>
      </w:r>
      <w:r>
        <w:rPr>
          <w:spacing w:val="9"/>
        </w:rPr>
        <w:t>扫用水，多余部分约2861.8m³/a,</w:t>
      </w:r>
      <w:r>
        <w:rPr>
          <w:spacing w:val="-18"/>
        </w:rPr>
        <w:t xml:space="preserve"> </w:t>
      </w:r>
      <w:r>
        <w:rPr>
          <w:spacing w:val="9"/>
        </w:rPr>
        <w:t>即</w:t>
      </w:r>
      <w:r>
        <w:t xml:space="preserve"> </w:t>
      </w:r>
      <w:r>
        <w:rPr>
          <w:rFonts w:ascii="Times New Roman" w:hAnsi="Times New Roman" w:eastAsia="Times New Roman" w:cs="Times New Roman"/>
          <w:spacing w:val="3"/>
        </w:rPr>
        <w:t xml:space="preserve">8.59m³/d,   </w:t>
      </w:r>
      <w:r>
        <w:rPr>
          <w:spacing w:val="3"/>
        </w:rPr>
        <w:t>进入园区管网最终进入四川石化污水处理厂进一步处理达标后排入一</w:t>
      </w:r>
      <w:r>
        <w:t xml:space="preserve"> </w:t>
      </w:r>
      <w:r>
        <w:rPr>
          <w:spacing w:val="4"/>
        </w:rPr>
        <w:t>根全长68</w:t>
      </w:r>
      <w:r>
        <w:rPr>
          <w:rFonts w:ascii="Times New Roman" w:hAnsi="Times New Roman" w:eastAsia="Times New Roman" w:cs="Times New Roman"/>
        </w:rPr>
        <w:t>km</w:t>
      </w:r>
      <w:r>
        <w:rPr>
          <w:rFonts w:ascii="Times New Roman" w:hAnsi="Times New Roman" w:eastAsia="Times New Roman" w:cs="Times New Roman"/>
          <w:spacing w:val="4"/>
        </w:rPr>
        <w:t xml:space="preserve"> </w:t>
      </w:r>
      <w:r>
        <w:rPr>
          <w:spacing w:val="4"/>
        </w:rPr>
        <w:t>的耐压管道输送至金堂县三星镇来宝沱村的氧化塘，废水在氧化塘</w:t>
      </w:r>
      <w:r>
        <w:rPr>
          <w:spacing w:val="1"/>
        </w:rPr>
        <w:t xml:space="preserve"> </w:t>
      </w:r>
      <w:r>
        <w:t>暂存后限流排放至沱江。外排废水量减少。</w:t>
      </w:r>
    </w:p>
    <w:p>
      <w:pPr>
        <w:pStyle w:val="2"/>
        <w:spacing w:line="220" w:lineRule="auto"/>
        <w:ind w:left="603"/>
        <w:outlineLvl w:val="3"/>
      </w:pPr>
      <w:r>
        <w:rPr>
          <w:b/>
          <w:bCs/>
          <w:spacing w:val="27"/>
        </w:rPr>
        <w:t>(二)废气</w:t>
      </w:r>
    </w:p>
    <w:p>
      <w:pPr>
        <w:pStyle w:val="2"/>
        <w:spacing w:before="195" w:line="358" w:lineRule="auto"/>
        <w:ind w:right="46" w:firstLine="459"/>
      </w:pPr>
      <w:r>
        <w:rPr>
          <w:spacing w:val="1"/>
        </w:rPr>
        <w:t xml:space="preserve">危险化学品进货、储存、出库外送均为整桶包装，均为密闭包装，在贮存期 </w:t>
      </w:r>
      <w:r>
        <w:t>间不会开封。在正常情况下，固体粉状化学品较稳定，包装完整，挥发性极小。</w:t>
      </w:r>
    </w:p>
    <w:p>
      <w:pPr>
        <w:pStyle w:val="2"/>
        <w:spacing w:before="1" w:line="347" w:lineRule="auto"/>
        <w:ind w:right="23" w:firstLine="459"/>
      </w:pPr>
      <w:r>
        <w:rPr>
          <w:spacing w:val="3"/>
        </w:rPr>
        <w:t>分装的物料均为丙类化学品，较稳定，不易挥发，沸点均大于100℃。分装</w:t>
      </w:r>
      <w:r>
        <w:rPr>
          <w:spacing w:val="8"/>
        </w:rPr>
        <w:t xml:space="preserve"> </w:t>
      </w:r>
      <w:r>
        <w:rPr>
          <w:spacing w:val="1"/>
        </w:rPr>
        <w:t>过程采用全自动密闭分装机，分装区域采取全密闭隔间，隔间采取负压抽风，隔</w:t>
      </w:r>
      <w:r>
        <w:rPr>
          <w:spacing w:val="2"/>
        </w:rPr>
        <w:t xml:space="preserve"> </w:t>
      </w:r>
      <w:r>
        <w:rPr>
          <w:spacing w:val="1"/>
        </w:rPr>
        <w:t>间上设置通风集气罩对废气进行收集，采用二级活性碳吸附工艺处理，处理后的</w:t>
      </w:r>
      <w:r>
        <w:rPr>
          <w:spacing w:val="2"/>
        </w:rPr>
        <w:t xml:space="preserve"> </w:t>
      </w:r>
      <w:r>
        <w:rPr>
          <w:spacing w:val="14"/>
        </w:rPr>
        <w:t>尾气经1根40</w:t>
      </w:r>
      <w:r>
        <w:rPr>
          <w:rFonts w:ascii="Times New Roman" w:hAnsi="Times New Roman" w:eastAsia="Times New Roman" w:cs="Times New Roman"/>
          <w:spacing w:val="14"/>
        </w:rPr>
        <w:t>m</w:t>
      </w:r>
      <w:r>
        <w:rPr>
          <w:rFonts w:ascii="Times New Roman" w:hAnsi="Times New Roman" w:eastAsia="Times New Roman" w:cs="Times New Roman"/>
          <w:spacing w:val="-4"/>
        </w:rPr>
        <w:t xml:space="preserve"> </w:t>
      </w:r>
      <w:r>
        <w:rPr>
          <w:spacing w:val="14"/>
        </w:rPr>
        <w:t>排气筒排放。</w:t>
      </w:r>
    </w:p>
    <w:p>
      <w:pPr>
        <w:pStyle w:val="2"/>
        <w:spacing w:before="44" w:line="341" w:lineRule="auto"/>
        <w:ind w:right="31" w:firstLine="459"/>
      </w:pPr>
      <w:r>
        <w:rPr>
          <w:spacing w:val="1"/>
        </w:rPr>
        <w:t>危废暂存间整体抽风，废气由管道收集后送分装车间的二级活性炭吸附一并</w:t>
      </w:r>
      <w:r>
        <w:rPr>
          <w:spacing w:val="16"/>
        </w:rPr>
        <w:t xml:space="preserve"> </w:t>
      </w:r>
      <w:r>
        <w:t>处理后由同一根排气筒达标排放。</w:t>
      </w:r>
    </w:p>
    <w:p>
      <w:pPr>
        <w:pStyle w:val="2"/>
        <w:spacing w:before="12" w:line="220" w:lineRule="auto"/>
        <w:ind w:left="603"/>
        <w:outlineLvl w:val="3"/>
      </w:pPr>
      <w:r>
        <w:rPr>
          <w:b/>
          <w:bCs/>
          <w:spacing w:val="23"/>
        </w:rPr>
        <w:t>(三)噪声</w:t>
      </w:r>
    </w:p>
    <w:p>
      <w:pPr>
        <w:pStyle w:val="2"/>
        <w:spacing w:before="216" w:line="349" w:lineRule="auto"/>
        <w:ind w:right="48" w:firstLine="459"/>
      </w:pPr>
      <w:r>
        <w:rPr>
          <w:spacing w:val="1"/>
        </w:rPr>
        <w:t>主要噪声来自叉车及运输设备运输过程产生的交通噪声及分装车间的设备噪</w:t>
      </w:r>
      <w:r>
        <w:t xml:space="preserve"> 声，通过合理布置总平、基座减震、车间隔声等措施减震。</w:t>
      </w:r>
    </w:p>
    <w:p>
      <w:pPr>
        <w:pStyle w:val="2"/>
        <w:spacing w:line="220" w:lineRule="auto"/>
        <w:ind w:left="603"/>
        <w:outlineLvl w:val="3"/>
      </w:pPr>
      <w:r>
        <w:rPr>
          <w:b/>
          <w:bCs/>
          <w:spacing w:val="18"/>
        </w:rPr>
        <w:t>(四)固体废物</w:t>
      </w:r>
    </w:p>
    <w:p>
      <w:pPr>
        <w:pStyle w:val="2"/>
        <w:spacing w:before="185" w:line="354" w:lineRule="auto"/>
        <w:ind w:right="223" w:firstLine="459"/>
      </w:pPr>
      <w:r>
        <w:rPr>
          <w:spacing w:val="6"/>
        </w:rPr>
        <w:t>分装车间</w:t>
      </w:r>
      <w:r>
        <w:rPr>
          <w:rFonts w:ascii="Times New Roman" w:hAnsi="Times New Roman" w:eastAsia="Times New Roman" w:cs="Times New Roman"/>
        </w:rPr>
        <w:t>IsoTank</w:t>
      </w:r>
      <w:r>
        <w:rPr>
          <w:rFonts w:ascii="Times New Roman" w:hAnsi="Times New Roman" w:eastAsia="Times New Roman" w:cs="Times New Roman"/>
          <w:spacing w:val="47"/>
        </w:rPr>
        <w:t xml:space="preserve"> </w:t>
      </w:r>
      <w:r>
        <w:rPr>
          <w:spacing w:val="6"/>
        </w:rPr>
        <w:t>罐分装至200</w:t>
      </w:r>
      <w:r>
        <w:rPr>
          <w:rFonts w:ascii="Times New Roman" w:hAnsi="Times New Roman" w:eastAsia="Times New Roman" w:cs="Times New Roman"/>
          <w:spacing w:val="6"/>
        </w:rPr>
        <w:t xml:space="preserve">L </w:t>
      </w:r>
      <w:r>
        <w:rPr>
          <w:spacing w:val="6"/>
        </w:rPr>
        <w:t>铁桶，分装完</w:t>
      </w:r>
      <w:r>
        <w:rPr>
          <w:rFonts w:ascii="Times New Roman" w:hAnsi="Times New Roman" w:eastAsia="Times New Roman" w:cs="Times New Roman"/>
        </w:rPr>
        <w:t>IsoTank</w:t>
      </w:r>
      <w:r>
        <w:rPr>
          <w:rFonts w:ascii="Times New Roman" w:hAnsi="Times New Roman" w:eastAsia="Times New Roman" w:cs="Times New Roman"/>
          <w:spacing w:val="29"/>
        </w:rPr>
        <w:t xml:space="preserve"> </w:t>
      </w:r>
      <w:r>
        <w:rPr>
          <w:spacing w:val="6"/>
        </w:rPr>
        <w:t>罐直接由车运回供</w:t>
      </w:r>
      <w:r>
        <w:t xml:space="preserve"> 应商，分装过程中不产生固废。</w:t>
      </w:r>
    </w:p>
    <w:p>
      <w:pPr>
        <w:pStyle w:val="2"/>
        <w:spacing w:before="1" w:line="218" w:lineRule="auto"/>
        <w:ind w:right="29"/>
        <w:jc w:val="right"/>
      </w:pPr>
      <w:r>
        <w:rPr>
          <w:spacing w:val="1"/>
        </w:rPr>
        <w:t>少量的包装物破损，废活性炭、化学品泄漏处理产生的废抹布等属于危险废</w:t>
      </w:r>
    </w:p>
    <w:p>
      <w:pPr>
        <w:spacing w:line="218" w:lineRule="auto"/>
        <w:sectPr>
          <w:footerReference r:id="rId7" w:type="default"/>
          <w:pgSz w:w="11920" w:h="16840"/>
          <w:pgMar w:top="1087" w:right="1788" w:bottom="1134" w:left="1669" w:header="0" w:footer="999" w:gutter="0"/>
          <w:cols w:space="720" w:num="1"/>
        </w:sectPr>
      </w:pPr>
    </w:p>
    <w:p>
      <w:pPr>
        <w:pStyle w:val="2"/>
        <w:spacing w:before="47" w:line="219" w:lineRule="auto"/>
        <w:ind w:left="31"/>
      </w:pPr>
      <w:r>
        <w:t>物，危废间暂存，委托成都川蓝环保科技有限责任公司收集、转运及贮存。</w:t>
      </w:r>
    </w:p>
    <w:p>
      <w:pPr>
        <w:pStyle w:val="2"/>
        <w:spacing w:before="195" w:line="219" w:lineRule="auto"/>
        <w:ind w:left="491"/>
      </w:pPr>
      <w:r>
        <w:t>污水处理设施产生的多介质过滤器滤料、生活垃</w:t>
      </w:r>
      <w:r>
        <w:rPr>
          <w:spacing w:val="-1"/>
        </w:rPr>
        <w:t>圾及，交环卫部门处理。</w:t>
      </w:r>
    </w:p>
    <w:p>
      <w:pPr>
        <w:pStyle w:val="2"/>
        <w:spacing w:before="204" w:line="220" w:lineRule="auto"/>
        <w:ind w:left="34"/>
        <w:outlineLvl w:val="3"/>
      </w:pPr>
      <w:r>
        <w:rPr>
          <w:b/>
          <w:bCs/>
          <w:spacing w:val="-5"/>
        </w:rPr>
        <w:t>四、环境保护设施调试效果</w:t>
      </w:r>
    </w:p>
    <w:p>
      <w:pPr>
        <w:pStyle w:val="2"/>
        <w:spacing w:before="183" w:line="219" w:lineRule="auto"/>
        <w:ind w:left="494"/>
        <w:outlineLvl w:val="3"/>
      </w:pPr>
      <w:r>
        <w:rPr>
          <w:b/>
          <w:bCs/>
          <w:spacing w:val="1"/>
        </w:rPr>
        <w:t>1、废水</w:t>
      </w:r>
    </w:p>
    <w:p>
      <w:pPr>
        <w:pStyle w:val="2"/>
        <w:tabs>
          <w:tab w:val="left" w:pos="160"/>
        </w:tabs>
        <w:spacing w:before="181" w:line="354" w:lineRule="auto"/>
        <w:ind w:left="31" w:right="126" w:firstLine="459"/>
        <w:jc w:val="both"/>
      </w:pPr>
      <w:r>
        <w:rPr>
          <w:spacing w:val="1"/>
        </w:rPr>
        <w:t>验收监测期间，污水处理站出水水质满足《石油化学工业污染物排</w:t>
      </w:r>
      <w:r>
        <w:t xml:space="preserve">放标准》 </w:t>
      </w:r>
      <w:r>
        <w:rPr>
          <w:rFonts w:ascii="Times New Roman" w:hAnsi="Times New Roman" w:eastAsia="Times New Roman" w:cs="Times New Roman"/>
        </w:rPr>
        <w:tab/>
      </w:r>
      <w:r>
        <w:rPr>
          <w:rFonts w:ascii="Times New Roman" w:hAnsi="Times New Roman" w:eastAsia="Times New Roman" w:cs="Times New Roman"/>
          <w:spacing w:val="5"/>
        </w:rPr>
        <w:t>(</w:t>
      </w:r>
      <w:r>
        <w:rPr>
          <w:rFonts w:ascii="Times New Roman" w:hAnsi="Times New Roman" w:eastAsia="Times New Roman" w:cs="Times New Roman"/>
        </w:rPr>
        <w:t>GB</w:t>
      </w:r>
      <w:r>
        <w:rPr>
          <w:rFonts w:ascii="Times New Roman" w:hAnsi="Times New Roman" w:eastAsia="Times New Roman" w:cs="Times New Roman"/>
          <w:spacing w:val="5"/>
        </w:rPr>
        <w:t xml:space="preserve">31571-2015)   </w:t>
      </w:r>
      <w:r>
        <w:rPr>
          <w:spacing w:val="5"/>
        </w:rPr>
        <w:t>表2间接排放标准(石油类≤15</w:t>
      </w:r>
      <w:r>
        <w:rPr>
          <w:rFonts w:ascii="Times New Roman" w:hAnsi="Times New Roman" w:eastAsia="Times New Roman" w:cs="Times New Roman"/>
        </w:rPr>
        <w:t>mg</w:t>
      </w:r>
      <w:r>
        <w:rPr>
          <w:rFonts w:ascii="Times New Roman" w:hAnsi="Times New Roman" w:eastAsia="Times New Roman" w:cs="Times New Roman"/>
          <w:spacing w:val="5"/>
        </w:rPr>
        <w:t xml:space="preserve">/L)  </w:t>
      </w:r>
      <w:r>
        <w:rPr>
          <w:spacing w:val="5"/>
        </w:rPr>
        <w:t>和四川石化污</w:t>
      </w:r>
      <w:r>
        <w:rPr>
          <w:spacing w:val="4"/>
        </w:rPr>
        <w:t>水处理厂</w:t>
      </w:r>
      <w:r>
        <w:t xml:space="preserve"> </w:t>
      </w:r>
      <w:r>
        <w:rPr>
          <w:spacing w:val="16"/>
        </w:rPr>
        <w:t>污水接纳标准(化学需氧量≤500</w:t>
      </w:r>
      <w:r>
        <w:t>mg</w:t>
      </w:r>
      <w:r>
        <w:rPr>
          <w:spacing w:val="16"/>
        </w:rPr>
        <w:t>/L、 五日生化需氧量≤2</w:t>
      </w:r>
      <w:r>
        <w:rPr>
          <w:spacing w:val="15"/>
        </w:rPr>
        <w:t>50</w:t>
      </w:r>
      <w:r>
        <w:t>mg</w:t>
      </w:r>
      <w:r>
        <w:rPr>
          <w:spacing w:val="15"/>
        </w:rPr>
        <w:t>/L、</w:t>
      </w:r>
      <w:r>
        <w:rPr>
          <w:spacing w:val="-17"/>
        </w:rPr>
        <w:t xml:space="preserve"> </w:t>
      </w:r>
      <w:r>
        <w:rPr>
          <w:spacing w:val="15"/>
        </w:rPr>
        <w:t>氨</w:t>
      </w:r>
      <w:r>
        <w:rPr>
          <w:spacing w:val="-53"/>
        </w:rPr>
        <w:t xml:space="preserve"> </w:t>
      </w:r>
      <w:r>
        <w:rPr>
          <w:spacing w:val="15"/>
        </w:rPr>
        <w:t>氮</w:t>
      </w:r>
      <w:r>
        <w:t xml:space="preserve"> </w:t>
      </w:r>
      <w:r>
        <w:rPr>
          <w:rFonts w:ascii="Times New Roman" w:hAnsi="Times New Roman" w:eastAsia="Times New Roman" w:cs="Times New Roman"/>
          <w:spacing w:val="2"/>
        </w:rPr>
        <w:t>≤20</w:t>
      </w:r>
      <w:r>
        <w:rPr>
          <w:rFonts w:ascii="Times New Roman" w:hAnsi="Times New Roman" w:eastAsia="Times New Roman" w:cs="Times New Roman"/>
        </w:rPr>
        <w:t>mg</w:t>
      </w:r>
      <w:r>
        <w:rPr>
          <w:rFonts w:ascii="Times New Roman" w:hAnsi="Times New Roman" w:eastAsia="Times New Roman" w:cs="Times New Roman"/>
          <w:spacing w:val="2"/>
        </w:rPr>
        <w:t xml:space="preserve">/L </w:t>
      </w:r>
      <w:r>
        <w:rPr>
          <w:spacing w:val="2"/>
        </w:rPr>
        <w:t>悬浮物≤200</w:t>
      </w:r>
      <w:r>
        <w:rPr>
          <w:rFonts w:ascii="Times New Roman" w:hAnsi="Times New Roman" w:eastAsia="Times New Roman" w:cs="Times New Roman"/>
        </w:rPr>
        <w:t>mg</w:t>
      </w:r>
      <w:r>
        <w:rPr>
          <w:rFonts w:ascii="Times New Roman" w:hAnsi="Times New Roman" w:eastAsia="Times New Roman" w:cs="Times New Roman"/>
          <w:spacing w:val="2"/>
        </w:rPr>
        <w:t>/L,</w:t>
      </w:r>
      <w:r>
        <w:rPr>
          <w:rFonts w:ascii="Times New Roman" w:hAnsi="Times New Roman" w:eastAsia="Times New Roman" w:cs="Times New Roman"/>
          <w:spacing w:val="32"/>
          <w:w w:val="101"/>
        </w:rPr>
        <w:t xml:space="preserve"> </w:t>
      </w:r>
      <w:r>
        <w:rPr>
          <w:spacing w:val="2"/>
        </w:rPr>
        <w:t>总磷≤3</w:t>
      </w:r>
      <w:r>
        <w:rPr>
          <w:rFonts w:ascii="Times New Roman" w:hAnsi="Times New Roman" w:eastAsia="Times New Roman" w:cs="Times New Roman"/>
        </w:rPr>
        <w:t>mg</w:t>
      </w:r>
      <w:r>
        <w:rPr>
          <w:rFonts w:ascii="Times New Roman" w:hAnsi="Times New Roman" w:eastAsia="Times New Roman" w:cs="Times New Roman"/>
          <w:spacing w:val="2"/>
        </w:rPr>
        <w:t xml:space="preserve">/L)  </w:t>
      </w:r>
      <w:r>
        <w:rPr>
          <w:spacing w:val="2"/>
        </w:rPr>
        <w:t>及《城市污水再生利用</w:t>
      </w:r>
      <w:r>
        <w:rPr>
          <w:spacing w:val="1"/>
        </w:rPr>
        <w:t>城市杂用水水</w:t>
      </w:r>
      <w:r>
        <w:t xml:space="preserve"> </w:t>
      </w:r>
      <w:r>
        <w:rPr>
          <w:spacing w:val="-1"/>
        </w:rPr>
        <w:t>质》</w:t>
      </w:r>
      <w:r>
        <w:rPr>
          <w:spacing w:val="-33"/>
        </w:rPr>
        <w:t xml:space="preserve"> </w:t>
      </w:r>
      <w:r>
        <w:rPr>
          <w:rFonts w:ascii="Times New Roman" w:hAnsi="Times New Roman" w:eastAsia="Times New Roman" w:cs="Times New Roman"/>
          <w:spacing w:val="-1"/>
        </w:rPr>
        <w:t>(GB/T18920-2020)</w:t>
      </w:r>
      <w:r>
        <w:rPr>
          <w:spacing w:val="-1"/>
        </w:rPr>
        <w:t>。</w:t>
      </w:r>
    </w:p>
    <w:p>
      <w:pPr>
        <w:pStyle w:val="2"/>
        <w:spacing w:before="33" w:line="220" w:lineRule="auto"/>
        <w:ind w:left="494"/>
        <w:outlineLvl w:val="3"/>
      </w:pPr>
      <w:r>
        <w:rPr>
          <w:b/>
          <w:bCs/>
          <w:spacing w:val="2"/>
        </w:rPr>
        <w:t>2、废气</w:t>
      </w:r>
    </w:p>
    <w:p>
      <w:pPr>
        <w:pStyle w:val="2"/>
        <w:spacing w:before="186" w:line="351" w:lineRule="auto"/>
        <w:ind w:left="31" w:right="170" w:firstLine="459"/>
        <w:jc w:val="both"/>
      </w:pPr>
      <w:r>
        <w:rPr>
          <w:spacing w:val="4"/>
        </w:rPr>
        <w:t>验收监测期间，分装及危废间排气筒废气中有机废气</w:t>
      </w:r>
      <w:r>
        <w:rPr>
          <w:rFonts w:ascii="Times New Roman" w:hAnsi="Times New Roman" w:eastAsia="Times New Roman" w:cs="Times New Roman"/>
        </w:rPr>
        <w:t>VOCs</w:t>
      </w:r>
      <w:r>
        <w:rPr>
          <w:spacing w:val="4"/>
        </w:rPr>
        <w:t>排放速率及排放</w:t>
      </w:r>
      <w:r>
        <w:t xml:space="preserve"> </w:t>
      </w:r>
      <w:r>
        <w:rPr>
          <w:spacing w:val="10"/>
        </w:rPr>
        <w:t>浓度均符合《四川省固定污染源大气挥发性有机物排放标准》</w:t>
      </w:r>
      <w:r>
        <w:rPr>
          <w:spacing w:val="108"/>
        </w:rPr>
        <w:t xml:space="preserve"> </w:t>
      </w:r>
      <w:r>
        <w:rPr>
          <w:rFonts w:ascii="Times New Roman" w:hAnsi="Times New Roman" w:eastAsia="Times New Roman" w:cs="Times New Roman"/>
          <w:spacing w:val="10"/>
        </w:rPr>
        <w:t>(</w:t>
      </w:r>
      <w:r>
        <w:rPr>
          <w:rFonts w:ascii="Times New Roman" w:hAnsi="Times New Roman" w:eastAsia="Times New Roman" w:cs="Times New Roman"/>
        </w:rPr>
        <w:t>DB</w:t>
      </w:r>
      <w:r>
        <w:rPr>
          <w:rFonts w:ascii="Times New Roman" w:hAnsi="Times New Roman" w:eastAsia="Times New Roman" w:cs="Times New Roman"/>
          <w:spacing w:val="10"/>
        </w:rPr>
        <w:t>51/2377-</w:t>
      </w:r>
      <w:r>
        <w:rPr>
          <w:rFonts w:ascii="Times New Roman" w:hAnsi="Times New Roman" w:eastAsia="Times New Roman" w:cs="Times New Roman"/>
        </w:rPr>
        <w:t xml:space="preserve"> </w:t>
      </w:r>
      <w:r>
        <w:rPr>
          <w:spacing w:val="16"/>
        </w:rPr>
        <w:t>2017)表3标准限值。</w:t>
      </w:r>
    </w:p>
    <w:p>
      <w:pPr>
        <w:pStyle w:val="2"/>
        <w:spacing w:before="20" w:line="354" w:lineRule="auto"/>
        <w:ind w:left="31" w:right="132" w:firstLine="459"/>
        <w:jc w:val="both"/>
      </w:pPr>
      <w:r>
        <w:rPr>
          <w:spacing w:val="1"/>
        </w:rPr>
        <w:t>验收监测期间，废气无组织排放，氨、硫化氢及</w:t>
      </w:r>
      <w:r>
        <w:t xml:space="preserve">臭气浓度排放浓度满足《恶 </w:t>
      </w:r>
      <w:r>
        <w:rPr>
          <w:spacing w:val="6"/>
        </w:rPr>
        <w:t>臭污染物排放标准》</w:t>
      </w:r>
      <w:r>
        <w:rPr>
          <w:spacing w:val="60"/>
        </w:rPr>
        <w:t xml:space="preserve"> </w:t>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14554-93)</w:t>
      </w:r>
      <w:r>
        <w:rPr>
          <w:rFonts w:ascii="Times New Roman" w:hAnsi="Times New Roman" w:eastAsia="Times New Roman" w:cs="Times New Roman"/>
          <w:spacing w:val="19"/>
        </w:rPr>
        <w:t xml:space="preserve">   </w:t>
      </w:r>
      <w:r>
        <w:rPr>
          <w:spacing w:val="6"/>
        </w:rPr>
        <w:t>表1标准值，甲醇</w:t>
      </w:r>
      <w:r>
        <w:rPr>
          <w:spacing w:val="5"/>
        </w:rPr>
        <w:t>、苯胺及氯苯排放浓度</w:t>
      </w:r>
      <w:r>
        <w:t xml:space="preserve"> </w:t>
      </w:r>
      <w:r>
        <w:rPr>
          <w:spacing w:val="5"/>
        </w:rPr>
        <w:t>满足《大气污染物综合排放标准》</w:t>
      </w:r>
      <w:r>
        <w:rPr>
          <w:spacing w:val="50"/>
        </w:rPr>
        <w:t xml:space="preserve"> </w:t>
      </w:r>
      <w:r>
        <w:rPr>
          <w:spacing w:val="5"/>
        </w:rPr>
        <w:t>(</w:t>
      </w:r>
      <w:r>
        <w:t>GB</w:t>
      </w:r>
      <w:r>
        <w:rPr>
          <w:spacing w:val="5"/>
        </w:rPr>
        <w:t>16279-1996)  表2无组</w:t>
      </w:r>
      <w:r>
        <w:rPr>
          <w:spacing w:val="4"/>
        </w:rPr>
        <w:t>织排放监控浓度</w:t>
      </w:r>
      <w:r>
        <w:t xml:space="preserve"> </w:t>
      </w:r>
      <w:r>
        <w:rPr>
          <w:spacing w:val="3"/>
        </w:rPr>
        <w:t>限值，</w:t>
      </w:r>
      <w:r>
        <w:rPr>
          <w:rFonts w:ascii="Times New Roman" w:hAnsi="Times New Roman" w:eastAsia="Times New Roman" w:cs="Times New Roman"/>
        </w:rPr>
        <w:t>VOCs</w:t>
      </w:r>
      <w:r>
        <w:rPr>
          <w:rFonts w:ascii="Times New Roman" w:hAnsi="Times New Roman" w:eastAsia="Times New Roman" w:cs="Times New Roman"/>
          <w:spacing w:val="-32"/>
        </w:rPr>
        <w:t xml:space="preserve"> </w:t>
      </w:r>
      <w:r>
        <w:rPr>
          <w:spacing w:val="3"/>
        </w:rPr>
        <w:t>、异丙醇、甲苯、甲醛、苯乙烯、三氯乙烯、二氯甲烷、乙苯、丙</w:t>
      </w:r>
      <w:r>
        <w:t xml:space="preserve"> 酮、环己酮、正己烷、正丁醇、2-丁酮、环己烷、乙酸乙酯排放浓度满足《四川</w:t>
      </w:r>
      <w:r>
        <w:rPr>
          <w:spacing w:val="17"/>
        </w:rPr>
        <w:t xml:space="preserve"> </w:t>
      </w:r>
      <w:r>
        <w:rPr>
          <w:spacing w:val="5"/>
        </w:rPr>
        <w:t>省固定污染源大气挥发性有机物排放标准》</w:t>
      </w:r>
      <w:r>
        <w:rPr>
          <w:spacing w:val="-35"/>
        </w:rPr>
        <w:t xml:space="preserve"> </w:t>
      </w:r>
      <w:r>
        <w:rPr>
          <w:spacing w:val="5"/>
        </w:rPr>
        <w:t>(</w:t>
      </w:r>
      <w:r>
        <w:t>DB</w:t>
      </w:r>
      <w:r>
        <w:rPr>
          <w:spacing w:val="5"/>
        </w:rPr>
        <w:t>51/2377-2017)</w:t>
      </w:r>
      <w:r>
        <w:rPr>
          <w:spacing w:val="72"/>
        </w:rPr>
        <w:t xml:space="preserve"> </w:t>
      </w:r>
      <w:r>
        <w:rPr>
          <w:spacing w:val="5"/>
        </w:rPr>
        <w:t>表5及表6无组</w:t>
      </w:r>
      <w:r>
        <w:t xml:space="preserve"> </w:t>
      </w:r>
      <w:r>
        <w:rPr>
          <w:spacing w:val="-5"/>
        </w:rPr>
        <w:t>织排放监控浓度限值。</w:t>
      </w:r>
    </w:p>
    <w:p>
      <w:pPr>
        <w:pStyle w:val="2"/>
        <w:spacing w:before="19" w:line="342" w:lineRule="auto"/>
        <w:ind w:left="31" w:right="152" w:firstLine="459"/>
      </w:pPr>
      <w:r>
        <w:t>验收监测期间，厂区挥发性有机物无组织排放浓度满足《挥发性有机物无组</w:t>
      </w:r>
      <w:r>
        <w:rPr>
          <w:spacing w:val="17"/>
        </w:rPr>
        <w:t xml:space="preserve"> </w:t>
      </w:r>
      <w:r>
        <w:rPr>
          <w:spacing w:val="-1"/>
        </w:rPr>
        <w:t>织排放控制标准》</w:t>
      </w:r>
      <w:r>
        <w:rPr>
          <w:spacing w:val="-19"/>
        </w:rPr>
        <w:t xml:space="preserve"> </w:t>
      </w:r>
      <w:r>
        <w:rPr>
          <w:rFonts w:ascii="Times New Roman" w:hAnsi="Times New Roman" w:eastAsia="Times New Roman" w:cs="Times New Roman"/>
          <w:spacing w:val="-1"/>
        </w:rPr>
        <w:t>(GB37822-2019)</w:t>
      </w:r>
      <w:r>
        <w:rPr>
          <w:spacing w:val="-1"/>
        </w:rPr>
        <w:t>。</w:t>
      </w:r>
    </w:p>
    <w:p>
      <w:pPr>
        <w:pStyle w:val="2"/>
        <w:spacing w:before="29" w:line="220" w:lineRule="auto"/>
        <w:ind w:left="494"/>
        <w:outlineLvl w:val="3"/>
      </w:pPr>
      <w:r>
        <w:rPr>
          <w:b/>
          <w:bCs/>
          <w:spacing w:val="2"/>
        </w:rPr>
        <w:t>3、噪声</w:t>
      </w:r>
    </w:p>
    <w:p>
      <w:pPr>
        <w:pStyle w:val="2"/>
        <w:spacing w:before="195" w:line="342" w:lineRule="auto"/>
        <w:ind w:left="31" w:right="148" w:firstLine="459"/>
      </w:pPr>
      <w:r>
        <w:rPr>
          <w:spacing w:val="1"/>
        </w:rPr>
        <w:t>验收监测期间，所测昼间、夜间厂界环境噪声均</w:t>
      </w:r>
      <w:r>
        <w:t xml:space="preserve">满足《工业企业厂界环境噪 </w:t>
      </w:r>
      <w:r>
        <w:rPr>
          <w:spacing w:val="-1"/>
        </w:rPr>
        <w:t>声排放标准》</w:t>
      </w:r>
      <w:r>
        <w:rPr>
          <w:spacing w:val="-23"/>
        </w:rPr>
        <w:t xml:space="preserve"> </w:t>
      </w:r>
      <w:r>
        <w:rPr>
          <w:rFonts w:ascii="Times New Roman" w:hAnsi="Times New Roman" w:eastAsia="Times New Roman" w:cs="Times New Roman"/>
          <w:spacing w:val="-1"/>
        </w:rPr>
        <w:t>(GB12348-2008)3</w:t>
      </w:r>
      <w:r>
        <w:rPr>
          <w:rFonts w:ascii="Times New Roman" w:hAnsi="Times New Roman" w:eastAsia="Times New Roman" w:cs="Times New Roman"/>
          <w:spacing w:val="11"/>
        </w:rPr>
        <w:t xml:space="preserve">    </w:t>
      </w:r>
      <w:r>
        <w:rPr>
          <w:spacing w:val="-1"/>
        </w:rPr>
        <w:t>类标准要求。</w:t>
      </w:r>
    </w:p>
    <w:p>
      <w:pPr>
        <w:pStyle w:val="2"/>
        <w:spacing w:before="30" w:line="220" w:lineRule="auto"/>
        <w:ind w:left="494"/>
        <w:outlineLvl w:val="3"/>
      </w:pPr>
      <w:r>
        <w:rPr>
          <w:b/>
          <w:bCs/>
        </w:rPr>
        <w:t>4、固体废物</w:t>
      </w:r>
    </w:p>
    <w:p>
      <w:pPr>
        <w:pStyle w:val="2"/>
        <w:spacing w:before="197" w:line="219" w:lineRule="auto"/>
        <w:ind w:left="491"/>
      </w:pPr>
      <w:r>
        <w:rPr>
          <w:spacing w:val="-1"/>
        </w:rPr>
        <w:t>项目产生的一般固体废物和危废去向明确。</w:t>
      </w:r>
    </w:p>
    <w:p>
      <w:pPr>
        <w:pStyle w:val="2"/>
        <w:spacing w:before="162" w:line="220" w:lineRule="auto"/>
        <w:ind w:left="494"/>
        <w:outlineLvl w:val="3"/>
      </w:pPr>
      <w:r>
        <w:rPr>
          <w:b/>
          <w:bCs/>
          <w:spacing w:val="-2"/>
        </w:rPr>
        <w:t>5、污染物排放总量</w:t>
      </w:r>
    </w:p>
    <w:p>
      <w:pPr>
        <w:pStyle w:val="2"/>
        <w:spacing w:before="174" w:line="354" w:lineRule="auto"/>
        <w:ind w:left="31" w:right="150" w:firstLine="459"/>
      </w:pPr>
      <w:r>
        <w:rPr>
          <w:spacing w:val="2"/>
        </w:rPr>
        <w:t>根据本次验收监测结果，</w:t>
      </w:r>
      <w:r>
        <w:rPr>
          <w:rFonts w:ascii="Times New Roman" w:hAnsi="Times New Roman" w:eastAsia="Times New Roman" w:cs="Times New Roman"/>
        </w:rPr>
        <w:t>VOCs</w:t>
      </w:r>
      <w:r>
        <w:rPr>
          <w:rFonts w:ascii="Times New Roman" w:hAnsi="Times New Roman" w:eastAsia="Times New Roman" w:cs="Times New Roman"/>
          <w:spacing w:val="2"/>
        </w:rPr>
        <w:t xml:space="preserve"> </w:t>
      </w:r>
      <w:r>
        <w:rPr>
          <w:spacing w:val="2"/>
        </w:rPr>
        <w:t>的实际年排放量均满足环评报告表及批复提</w:t>
      </w:r>
      <w:r>
        <w:rPr>
          <w:spacing w:val="17"/>
        </w:rPr>
        <w:t xml:space="preserve"> </w:t>
      </w:r>
      <w:r>
        <w:rPr>
          <w:spacing w:val="-3"/>
        </w:rPr>
        <w:t>出的总量控制建议指标要求。</w:t>
      </w:r>
    </w:p>
    <w:p>
      <w:pPr>
        <w:pStyle w:val="2"/>
        <w:spacing w:line="220" w:lineRule="auto"/>
        <w:ind w:left="34"/>
        <w:outlineLvl w:val="3"/>
      </w:pPr>
      <w:r>
        <w:rPr>
          <w:b/>
          <w:bCs/>
          <w:spacing w:val="-3"/>
        </w:rPr>
        <w:t>五、工程建设对环境的影响</w:t>
      </w:r>
    </w:p>
    <w:p>
      <w:pPr>
        <w:spacing w:line="220" w:lineRule="auto"/>
        <w:sectPr>
          <w:footerReference r:id="rId8" w:type="default"/>
          <w:pgSz w:w="12260" w:h="17080"/>
          <w:pgMar w:top="1340" w:right="1839" w:bottom="1139" w:left="1839" w:header="0" w:footer="1021" w:gutter="0"/>
          <w:cols w:space="720" w:num="1"/>
        </w:sectPr>
      </w:pPr>
    </w:p>
    <w:p>
      <w:pPr>
        <w:pStyle w:val="2"/>
        <w:spacing w:before="49" w:line="409" w:lineRule="auto"/>
        <w:ind w:right="71" w:firstLine="460"/>
        <w:jc w:val="both"/>
      </w:pPr>
      <w:r>
        <w:rPr>
          <w:spacing w:val="9"/>
        </w:rPr>
        <w:t xml:space="preserve">成都宏智仓储有限公司位于成都市彭州市石化北路西段成都石油化学工业 </w:t>
      </w:r>
      <w:r>
        <w:rPr>
          <w:spacing w:val="4"/>
        </w:rPr>
        <w:t>园。根据《建设项目竣工环境保护验收监测报告》,项目产生的噪声、废气和废</w:t>
      </w:r>
      <w:r>
        <w:rPr>
          <w:spacing w:val="1"/>
        </w:rPr>
        <w:t xml:space="preserve"> 水均能实现达标排放，固体废物按照相关规定进行了妥善处置，对外环境影响不</w:t>
      </w:r>
      <w:r>
        <w:rPr>
          <w:spacing w:val="7"/>
        </w:rPr>
        <w:t xml:space="preserve"> </w:t>
      </w:r>
      <w:r>
        <w:rPr>
          <w:spacing w:val="-12"/>
        </w:rPr>
        <w:t>大。</w:t>
      </w:r>
    </w:p>
    <w:p>
      <w:pPr>
        <w:pStyle w:val="2"/>
        <w:spacing w:before="29" w:line="219" w:lineRule="auto"/>
        <w:ind w:left="3"/>
        <w:outlineLvl w:val="3"/>
      </w:pPr>
      <w:r>
        <w:rPr>
          <w:b/>
          <w:bCs/>
          <w:spacing w:val="-1"/>
        </w:rPr>
        <w:t>六、验收结论</w:t>
      </w:r>
    </w:p>
    <w:p>
      <w:pPr>
        <w:pStyle w:val="2"/>
        <w:spacing w:before="228" w:line="359" w:lineRule="auto"/>
        <w:ind w:right="115" w:firstLine="450"/>
        <w:jc w:val="both"/>
      </w:pPr>
      <w:r>
        <w:rPr>
          <w:spacing w:val="8"/>
        </w:rPr>
        <w:t>《成都宏智仓储有限公司宏川智慧物流及供应链项目(南区)》环保审查、</w:t>
      </w:r>
      <w:r>
        <w:rPr>
          <w:spacing w:val="4"/>
        </w:rPr>
        <w:t xml:space="preserve"> </w:t>
      </w:r>
      <w:r>
        <w:rPr>
          <w:spacing w:val="-1"/>
        </w:rPr>
        <w:t>审批手续完备，配套的污染防治设施及措施基本按环评及批复要求建成和落实，</w:t>
      </w:r>
      <w:r>
        <w:rPr>
          <w:spacing w:val="13"/>
        </w:rPr>
        <w:t xml:space="preserve"> </w:t>
      </w:r>
      <w:r>
        <w:rPr>
          <w:spacing w:val="-1"/>
        </w:rPr>
        <w:t>所测污染物达标排放，通过竣工环境保护验收。</w:t>
      </w:r>
    </w:p>
    <w:p>
      <w:pPr>
        <w:pStyle w:val="2"/>
        <w:spacing w:line="219" w:lineRule="auto"/>
      </w:pPr>
      <w:r>
        <w:rPr>
          <w:spacing w:val="5"/>
        </w:rPr>
        <w:t>七、验收人员信息</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78" w:line="219" w:lineRule="auto"/>
        <w:ind w:left="6060"/>
      </w:pPr>
      <w:r>
        <w:rPr>
          <w:spacing w:val="-2"/>
        </w:rPr>
        <w:t>成都宏智仓储有限公司</w:t>
      </w:r>
    </w:p>
    <w:p>
      <w:pPr>
        <w:pStyle w:val="2"/>
        <w:spacing w:before="185" w:line="219" w:lineRule="auto"/>
        <w:ind w:right="21"/>
        <w:jc w:val="right"/>
      </w:pPr>
      <w:r>
        <w:rPr>
          <w:spacing w:val="33"/>
        </w:rPr>
        <w:t>2025年7月29日</w:t>
      </w:r>
    </w:p>
    <w:p>
      <w:pPr>
        <w:spacing w:line="219" w:lineRule="auto"/>
        <w:sectPr>
          <w:footerReference r:id="rId9" w:type="default"/>
          <w:pgSz w:w="12100" w:h="16960"/>
          <w:pgMar w:top="1350" w:right="1815" w:bottom="709" w:left="1769" w:header="0" w:footer="567" w:gutter="0"/>
          <w:cols w:space="720" w:num="1"/>
        </w:sectPr>
      </w:pPr>
    </w:p>
    <w:p>
      <w:pPr>
        <w:spacing w:line="252" w:lineRule="auto"/>
        <w:rPr>
          <w:rFonts w:ascii="Arial"/>
          <w:sz w:val="21"/>
        </w:rPr>
      </w:pPr>
    </w:p>
    <w:p>
      <w:pPr>
        <w:spacing w:line="253" w:lineRule="auto"/>
        <w:rPr>
          <w:rFonts w:ascii="Arial"/>
          <w:sz w:val="21"/>
        </w:rPr>
      </w:pPr>
    </w:p>
    <w:p>
      <w:pPr>
        <w:rPr>
          <w:rFonts w:ascii="Arial"/>
          <w:sz w:val="21"/>
        </w:rPr>
      </w:pPr>
      <w:bookmarkStart w:id="0" w:name="_GoBack"/>
      <w:r>
        <w:drawing>
          <wp:inline distT="0" distB="0" distL="114300" distR="114300">
            <wp:extent cx="5717540" cy="682180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17540" cy="6821805"/>
                    </a:xfrm>
                    <a:prstGeom prst="rect">
                      <a:avLst/>
                    </a:prstGeom>
                    <a:noFill/>
                    <a:ln>
                      <a:noFill/>
                    </a:ln>
                  </pic:spPr>
                </pic:pic>
              </a:graphicData>
            </a:graphic>
          </wp:inline>
        </w:drawing>
      </w:r>
      <w:bookmarkEnd w:id="0"/>
    </w:p>
    <w:sectPr>
      <w:footerReference r:id="rId10" w:type="default"/>
      <w:pgSz w:w="11900" w:h="16840"/>
      <w:pgMar w:top="1431" w:right="1785" w:bottom="1917" w:left="1785" w:header="0" w:footer="17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00"/>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84"/>
      <w:rPr>
        <w:rFonts w:ascii="Times New Roman" w:hAnsi="Times New Roman" w:eastAsia="Times New Roman" w:cs="Times New Roman"/>
        <w:sz w:val="15"/>
        <w:szCs w:val="15"/>
      </w:rPr>
    </w:pPr>
    <w:r>
      <w:rPr>
        <w:rFonts w:ascii="Times New Roman" w:hAnsi="Times New Roman" w:eastAsia="Times New Roman" w:cs="Times New Roman"/>
        <w:sz w:val="15"/>
        <w:szCs w:val="15"/>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59"/>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231"/>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219"/>
      <w:rPr>
        <w:rFonts w:ascii="Times New Roman" w:hAnsi="Times New Roman" w:eastAsia="Times New Roman" w:cs="Times New Roman"/>
        <w:sz w:val="16"/>
        <w:szCs w:val="16"/>
      </w:rPr>
    </w:pPr>
    <w:r>
      <w:rPr>
        <w:rFonts w:ascii="Times New Roman" w:hAnsi="Times New Roman" w:eastAsia="Times New Roman" w:cs="Times New Roman"/>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294"/>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kZjIyNjEyZjZlMjFkZGUzYmVlZmQ0YmViODdkY2YifQ=="/>
  </w:docVars>
  <w:rsids>
    <w:rsidRoot w:val="00000000"/>
    <w:rsid w:val="7A8A23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3576</Words>
  <Characters>4118</Characters>
  <TotalTime>2</TotalTime>
  <ScaleCrop>false</ScaleCrop>
  <LinksUpToDate>false</LinksUpToDate>
  <CharactersWithSpaces>4241</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2025-08-11T13:42:00Z</dcterms:created>
  <dc:creator>94902</dc:creator>
  <cp:lastModifiedBy>VIP在夏天</cp:lastModifiedBy>
  <dcterms:modified xsi:type="dcterms:W3CDTF">2025-08-11T05:45:44Z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2025-08-11T13:42:54Z</vt:filetime>
  </property>
  <property fmtid="{D5CDD505-2E9C-101B-9397-08002B2CF9AE}" pid="4" name="UsrData">
    <vt:lpwstr>689982da6b6b96001f03fcdawl</vt:lpwstr>
  </property>
  <property fmtid="{D5CDD505-2E9C-101B-9397-08002B2CF9AE}" pid="5" name="KSOProductBuildVer">
    <vt:lpwstr>2052-11.1.0.12165</vt:lpwstr>
  </property>
  <property fmtid="{D5CDD505-2E9C-101B-9397-08002B2CF9AE}" pid="6" name="ICV">
    <vt:lpwstr>240640EB5B1B47E891E29F4CF4A4BEB8</vt:lpwstr>
  </property>
</Properties>
</file>