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jc w:val="center"/>
        <w:rPr>
          <w:rFonts w:eastAsia="宋体"/>
          <w:snapToGrid w:val="0"/>
          <w:spacing w:val="0"/>
          <w:sz w:val="52"/>
          <w:szCs w:val="52"/>
        </w:rPr>
      </w:pPr>
    </w:p>
    <w:p>
      <w:pPr>
        <w:spacing w:line="460" w:lineRule="exact"/>
        <w:jc w:val="center"/>
        <w:rPr>
          <w:rFonts w:eastAsia="宋体"/>
          <w:snapToGrid w:val="0"/>
          <w:spacing w:val="0"/>
          <w:sz w:val="52"/>
          <w:szCs w:val="52"/>
        </w:rPr>
      </w:pPr>
    </w:p>
    <w:p>
      <w:pPr>
        <w:spacing w:line="460" w:lineRule="exact"/>
        <w:jc w:val="center"/>
        <w:rPr>
          <w:rFonts w:eastAsia="宋体"/>
          <w:snapToGrid w:val="0"/>
          <w:spacing w:val="0"/>
          <w:sz w:val="52"/>
          <w:szCs w:val="52"/>
        </w:rPr>
      </w:pPr>
    </w:p>
    <w:p>
      <w:pPr>
        <w:spacing w:line="460" w:lineRule="exact"/>
        <w:jc w:val="center"/>
        <w:rPr>
          <w:rFonts w:eastAsia="宋体"/>
          <w:snapToGrid w:val="0"/>
          <w:spacing w:val="0"/>
          <w:sz w:val="52"/>
          <w:szCs w:val="52"/>
        </w:rPr>
      </w:pPr>
    </w:p>
    <w:p>
      <w:pPr>
        <w:spacing w:line="460" w:lineRule="exact"/>
        <w:jc w:val="center"/>
        <w:rPr>
          <w:rFonts w:eastAsia="宋体"/>
          <w:snapToGrid w:val="0"/>
          <w:spacing w:val="0"/>
          <w:sz w:val="52"/>
          <w:szCs w:val="52"/>
        </w:rPr>
      </w:pPr>
    </w:p>
    <w:p>
      <w:pPr>
        <w:spacing w:line="460" w:lineRule="exact"/>
        <w:jc w:val="center"/>
        <w:rPr>
          <w:rFonts w:eastAsia="宋体"/>
          <w:b/>
          <w:snapToGrid w:val="0"/>
          <w:spacing w:val="0"/>
          <w:sz w:val="52"/>
          <w:szCs w:val="52"/>
        </w:rPr>
      </w:pPr>
      <w:r>
        <w:rPr>
          <w:rFonts w:hint="eastAsia" w:eastAsia="宋体"/>
          <w:b/>
          <w:snapToGrid w:val="0"/>
          <w:spacing w:val="0"/>
          <w:sz w:val="52"/>
          <w:szCs w:val="52"/>
        </w:rPr>
        <w:t>广东宏川智慧物流股份有限公司</w:t>
      </w:r>
    </w:p>
    <w:p>
      <w:pPr>
        <w:spacing w:line="460" w:lineRule="exact"/>
        <w:jc w:val="center"/>
        <w:rPr>
          <w:rFonts w:eastAsia="宋体"/>
          <w:b/>
          <w:snapToGrid w:val="0"/>
          <w:spacing w:val="0"/>
          <w:sz w:val="52"/>
          <w:szCs w:val="52"/>
        </w:rPr>
      </w:pPr>
    </w:p>
    <w:p>
      <w:pPr>
        <w:spacing w:line="460" w:lineRule="exact"/>
        <w:jc w:val="center"/>
        <w:rPr>
          <w:rFonts w:eastAsia="宋体"/>
          <w:b/>
          <w:snapToGrid w:val="0"/>
          <w:spacing w:val="0"/>
          <w:sz w:val="52"/>
          <w:szCs w:val="52"/>
        </w:rPr>
      </w:pPr>
    </w:p>
    <w:p>
      <w:pPr>
        <w:spacing w:line="460" w:lineRule="exact"/>
        <w:jc w:val="center"/>
        <w:rPr>
          <w:rFonts w:eastAsia="宋体"/>
          <w:b/>
          <w:snapToGrid w:val="0"/>
          <w:spacing w:val="0"/>
          <w:sz w:val="52"/>
          <w:szCs w:val="52"/>
        </w:rPr>
      </w:pPr>
    </w:p>
    <w:p>
      <w:pPr>
        <w:spacing w:line="460" w:lineRule="exact"/>
        <w:jc w:val="center"/>
        <w:rPr>
          <w:rFonts w:eastAsia="宋体"/>
          <w:b/>
          <w:snapToGrid w:val="0"/>
          <w:spacing w:val="0"/>
          <w:sz w:val="52"/>
          <w:szCs w:val="52"/>
        </w:rPr>
      </w:pPr>
      <w:r>
        <w:rPr>
          <w:rFonts w:eastAsia="宋体"/>
          <w:b/>
          <w:snapToGrid w:val="0"/>
          <w:spacing w:val="0"/>
          <w:sz w:val="52"/>
          <w:szCs w:val="52"/>
        </w:rPr>
        <w:t>章</w:t>
      </w:r>
      <w:r>
        <w:rPr>
          <w:rFonts w:hint="eastAsia" w:eastAsia="宋体"/>
          <w:b/>
          <w:snapToGrid w:val="0"/>
          <w:spacing w:val="0"/>
          <w:sz w:val="52"/>
          <w:szCs w:val="52"/>
        </w:rPr>
        <w:t xml:space="preserve">  </w:t>
      </w:r>
      <w:r>
        <w:rPr>
          <w:rFonts w:eastAsia="宋体"/>
          <w:b/>
          <w:snapToGrid w:val="0"/>
          <w:spacing w:val="0"/>
          <w:sz w:val="52"/>
          <w:szCs w:val="52"/>
        </w:rPr>
        <w:t>程</w:t>
      </w:r>
    </w:p>
    <w:p>
      <w:pPr>
        <w:spacing w:line="460" w:lineRule="exact"/>
        <w:jc w:val="center"/>
        <w:rPr>
          <w:rFonts w:eastAsia="宋体"/>
          <w:b/>
          <w:snapToGrid w:val="0"/>
          <w:spacing w:val="0"/>
          <w:sz w:val="52"/>
          <w:szCs w:val="52"/>
        </w:rPr>
      </w:pPr>
    </w:p>
    <w:p>
      <w:pPr>
        <w:spacing w:line="460" w:lineRule="exact"/>
        <w:jc w:val="center"/>
        <w:rPr>
          <w:rFonts w:eastAsia="宋体"/>
          <w:b/>
          <w:snapToGrid w:val="0"/>
          <w:spacing w:val="0"/>
          <w:sz w:val="52"/>
          <w:szCs w:val="52"/>
        </w:rPr>
      </w:pP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r>
        <w:rPr>
          <w:rFonts w:hint="eastAsia" w:eastAsia="宋体"/>
          <w:snapToGrid w:val="0"/>
          <w:spacing w:val="0"/>
          <w:sz w:val="32"/>
          <w:szCs w:val="32"/>
        </w:rPr>
        <w:t xml:space="preserve"> </w:t>
      </w:r>
    </w:p>
    <w:p>
      <w:pPr>
        <w:spacing w:line="460" w:lineRule="exact"/>
        <w:rPr>
          <w:rFonts w:eastAsia="宋体"/>
          <w:snapToGrid w:val="0"/>
          <w:spacing w:val="0"/>
          <w:sz w:val="32"/>
          <w:szCs w:val="32"/>
        </w:rPr>
      </w:pPr>
    </w:p>
    <w:p>
      <w:pPr>
        <w:spacing w:line="460" w:lineRule="exact"/>
        <w:rPr>
          <w:rFonts w:eastAsia="宋体"/>
          <w:snapToGrid w:val="0"/>
          <w:spacing w:val="0"/>
          <w:sz w:val="32"/>
          <w:szCs w:val="32"/>
        </w:rPr>
      </w:pPr>
    </w:p>
    <w:p>
      <w:pPr>
        <w:spacing w:line="460" w:lineRule="exact"/>
        <w:rPr>
          <w:rFonts w:eastAsia="宋体"/>
          <w:snapToGrid w:val="0"/>
          <w:spacing w:val="0"/>
          <w:sz w:val="32"/>
          <w:szCs w:val="32"/>
        </w:rPr>
      </w:pPr>
    </w:p>
    <w:p>
      <w:pPr>
        <w:spacing w:line="460" w:lineRule="exact"/>
        <w:rPr>
          <w:rFonts w:eastAsia="宋体"/>
          <w:snapToGrid w:val="0"/>
          <w:spacing w:val="0"/>
          <w:sz w:val="32"/>
          <w:szCs w:val="32"/>
        </w:rPr>
      </w:pPr>
    </w:p>
    <w:p>
      <w:pPr>
        <w:spacing w:line="460" w:lineRule="exact"/>
        <w:rPr>
          <w:rFonts w:eastAsia="宋体"/>
          <w:snapToGrid w:val="0"/>
          <w:spacing w:val="0"/>
          <w:sz w:val="32"/>
          <w:szCs w:val="32"/>
        </w:rPr>
      </w:pPr>
    </w:p>
    <w:p>
      <w:pPr>
        <w:spacing w:line="460" w:lineRule="exact"/>
        <w:jc w:val="center"/>
        <w:rPr>
          <w:rFonts w:eastAsia="宋体"/>
          <w:snapToGrid w:val="0"/>
          <w:spacing w:val="0"/>
          <w:sz w:val="32"/>
          <w:szCs w:val="32"/>
        </w:rPr>
      </w:pPr>
      <w:r>
        <w:rPr>
          <w:rFonts w:eastAsia="宋体"/>
          <w:snapToGrid w:val="0"/>
          <w:spacing w:val="0"/>
          <w:sz w:val="32"/>
          <w:szCs w:val="32"/>
        </w:rPr>
        <w:t>二〇一</w:t>
      </w:r>
      <w:r>
        <w:rPr>
          <w:rFonts w:hint="eastAsia" w:eastAsia="宋体"/>
          <w:snapToGrid w:val="0"/>
          <w:spacing w:val="0"/>
          <w:sz w:val="32"/>
          <w:szCs w:val="32"/>
        </w:rPr>
        <w:t>九年</w:t>
      </w:r>
      <w:r>
        <w:rPr>
          <w:rFonts w:hint="eastAsia" w:eastAsia="宋体"/>
          <w:snapToGrid w:val="0"/>
          <w:spacing w:val="0"/>
          <w:sz w:val="32"/>
          <w:szCs w:val="32"/>
          <w:lang w:eastAsia="zh-CN"/>
        </w:rPr>
        <w:t>八</w:t>
      </w:r>
      <w:r>
        <w:rPr>
          <w:rFonts w:eastAsia="宋体"/>
          <w:snapToGrid w:val="0"/>
          <w:spacing w:val="0"/>
          <w:sz w:val="32"/>
          <w:szCs w:val="32"/>
        </w:rPr>
        <w:t>月</w:t>
      </w: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p>
    <w:p>
      <w:pPr>
        <w:spacing w:line="460" w:lineRule="exact"/>
        <w:jc w:val="center"/>
        <w:rPr>
          <w:rFonts w:eastAsia="宋体"/>
          <w:snapToGrid w:val="0"/>
          <w:spacing w:val="0"/>
          <w:sz w:val="32"/>
          <w:szCs w:val="32"/>
        </w:rPr>
      </w:pPr>
    </w:p>
    <w:p>
      <w:pPr>
        <w:spacing w:line="460" w:lineRule="exact"/>
        <w:jc w:val="center"/>
        <w:rPr>
          <w:rFonts w:eastAsia="宋体"/>
          <w:b/>
          <w:snapToGrid w:val="0"/>
          <w:spacing w:val="0"/>
          <w:sz w:val="32"/>
          <w:szCs w:val="32"/>
        </w:rPr>
      </w:pPr>
    </w:p>
    <w:p>
      <w:pPr>
        <w:spacing w:line="460" w:lineRule="exact"/>
        <w:jc w:val="center"/>
        <w:rPr>
          <w:rFonts w:eastAsia="宋体"/>
          <w:b/>
          <w:snapToGrid w:val="0"/>
          <w:spacing w:val="0"/>
          <w:sz w:val="32"/>
          <w:szCs w:val="32"/>
        </w:rPr>
      </w:pPr>
      <w:r>
        <w:rPr>
          <w:rFonts w:eastAsia="宋体"/>
          <w:b/>
          <w:snapToGrid w:val="0"/>
          <w:spacing w:val="0"/>
          <w:sz w:val="32"/>
          <w:szCs w:val="32"/>
        </w:rPr>
        <w:t>目  录</w:t>
      </w:r>
    </w:p>
    <w:p>
      <w:pPr>
        <w:spacing w:line="240" w:lineRule="auto"/>
        <w:jc w:val="center"/>
        <w:rPr>
          <w:rFonts w:eastAsia="宋体"/>
          <w:snapToGrid w:val="0"/>
          <w:spacing w:val="0"/>
          <w:szCs w:val="25"/>
        </w:rPr>
      </w:pPr>
    </w:p>
    <w:p>
      <w:pPr>
        <w:pStyle w:val="15"/>
        <w:tabs>
          <w:tab w:val="right" w:leader="dot" w:pos="9412"/>
        </w:tabs>
      </w:pPr>
      <w:r>
        <w:rPr>
          <w:rFonts w:ascii="Times New Roman" w:hAnsi="Times New Roman" w:eastAsia="宋体" w:cs="Times New Roman"/>
          <w:bCs w:val="0"/>
          <w:caps w:val="0"/>
          <w:snapToGrid w:val="0"/>
          <w:spacing w:val="0"/>
          <w:sz w:val="25"/>
          <w:szCs w:val="25"/>
        </w:rPr>
        <w:fldChar w:fldCharType="begin"/>
      </w:r>
      <w:r>
        <w:rPr>
          <w:rFonts w:ascii="Times New Roman" w:hAnsi="Times New Roman" w:eastAsia="宋体" w:cs="Times New Roman"/>
          <w:bCs w:val="0"/>
          <w:caps w:val="0"/>
          <w:snapToGrid w:val="0"/>
          <w:spacing w:val="0"/>
          <w:sz w:val="25"/>
          <w:szCs w:val="25"/>
        </w:rPr>
        <w:instrText xml:space="preserve"> TOC \o "1-3" \h \z \u </w:instrText>
      </w:r>
      <w:r>
        <w:rPr>
          <w:rFonts w:ascii="Times New Roman" w:hAnsi="Times New Roman" w:eastAsia="宋体" w:cs="Times New Roman"/>
          <w:bCs w:val="0"/>
          <w:caps w:val="0"/>
          <w:snapToGrid w:val="0"/>
          <w:spacing w:val="0"/>
          <w:sz w:val="25"/>
          <w:szCs w:val="25"/>
        </w:rPr>
        <w:fldChar w:fldCharType="separate"/>
      </w:r>
      <w:r>
        <w:fldChar w:fldCharType="begin"/>
      </w:r>
      <w:r>
        <w:instrText xml:space="preserve"> HYPERLINK \l "_Toc18431" </w:instrText>
      </w:r>
      <w:r>
        <w:fldChar w:fldCharType="separate"/>
      </w:r>
      <w:r>
        <w:rPr>
          <w:rFonts w:hint="eastAsia" w:eastAsia="宋体"/>
          <w:spacing w:val="0"/>
          <w:szCs w:val="30"/>
        </w:rPr>
        <w:t xml:space="preserve">第一章 </w:t>
      </w:r>
      <w:r>
        <w:rPr>
          <w:rFonts w:eastAsia="宋体"/>
          <w:spacing w:val="0"/>
          <w:szCs w:val="30"/>
        </w:rPr>
        <w:t>总则</w:t>
      </w:r>
      <w:r>
        <w:tab/>
      </w:r>
      <w:r>
        <w:fldChar w:fldCharType="begin"/>
      </w:r>
      <w:r>
        <w:instrText xml:space="preserve"> PAGEREF _Toc18431 </w:instrText>
      </w:r>
      <w:r>
        <w:fldChar w:fldCharType="separate"/>
      </w:r>
      <w:r>
        <w:t>3</w:t>
      </w:r>
      <w:r>
        <w:fldChar w:fldCharType="end"/>
      </w:r>
      <w:r>
        <w:fldChar w:fldCharType="end"/>
      </w:r>
    </w:p>
    <w:p>
      <w:pPr>
        <w:pStyle w:val="15"/>
        <w:tabs>
          <w:tab w:val="right" w:leader="dot" w:pos="9412"/>
        </w:tabs>
      </w:pPr>
      <w:r>
        <w:fldChar w:fldCharType="begin"/>
      </w:r>
      <w:r>
        <w:instrText xml:space="preserve"> HYPERLINK \l "_Toc16162" </w:instrText>
      </w:r>
      <w:r>
        <w:fldChar w:fldCharType="separate"/>
      </w:r>
      <w:r>
        <w:rPr>
          <w:rFonts w:hint="eastAsia" w:eastAsia="宋体"/>
          <w:spacing w:val="0"/>
          <w:szCs w:val="30"/>
        </w:rPr>
        <w:t xml:space="preserve">第二章 </w:t>
      </w:r>
      <w:r>
        <w:rPr>
          <w:rFonts w:eastAsia="宋体"/>
          <w:spacing w:val="0"/>
          <w:szCs w:val="30"/>
        </w:rPr>
        <w:t>经营宗旨和范围</w:t>
      </w:r>
      <w:r>
        <w:tab/>
      </w:r>
      <w:r>
        <w:fldChar w:fldCharType="begin"/>
      </w:r>
      <w:r>
        <w:instrText xml:space="preserve"> PAGEREF _Toc16162 </w:instrText>
      </w:r>
      <w:r>
        <w:fldChar w:fldCharType="separate"/>
      </w:r>
      <w:r>
        <w:t>4</w:t>
      </w:r>
      <w:r>
        <w:fldChar w:fldCharType="end"/>
      </w:r>
      <w:r>
        <w:fldChar w:fldCharType="end"/>
      </w:r>
    </w:p>
    <w:p>
      <w:pPr>
        <w:pStyle w:val="15"/>
        <w:tabs>
          <w:tab w:val="right" w:leader="dot" w:pos="9412"/>
        </w:tabs>
      </w:pPr>
      <w:r>
        <w:fldChar w:fldCharType="begin"/>
      </w:r>
      <w:r>
        <w:instrText xml:space="preserve"> HYPERLINK \l "_Toc6438" </w:instrText>
      </w:r>
      <w:r>
        <w:fldChar w:fldCharType="separate"/>
      </w:r>
      <w:r>
        <w:rPr>
          <w:rFonts w:hint="eastAsia" w:eastAsia="宋体"/>
          <w:spacing w:val="0"/>
          <w:szCs w:val="30"/>
        </w:rPr>
        <w:t>第三章 股份</w:t>
      </w:r>
      <w:r>
        <w:tab/>
      </w:r>
      <w:r>
        <w:fldChar w:fldCharType="begin"/>
      </w:r>
      <w:r>
        <w:instrText xml:space="preserve"> PAGEREF _Toc6438 </w:instrText>
      </w:r>
      <w:r>
        <w:fldChar w:fldCharType="separate"/>
      </w:r>
      <w:r>
        <w:t>4</w:t>
      </w:r>
      <w:r>
        <w:fldChar w:fldCharType="end"/>
      </w:r>
      <w:r>
        <w:fldChar w:fldCharType="end"/>
      </w:r>
    </w:p>
    <w:p>
      <w:pPr>
        <w:pStyle w:val="18"/>
        <w:tabs>
          <w:tab w:val="right" w:leader="dot" w:pos="9412"/>
        </w:tabs>
      </w:pPr>
      <w:r>
        <w:fldChar w:fldCharType="begin"/>
      </w:r>
      <w:r>
        <w:instrText xml:space="preserve"> HYPERLINK \l "_Toc17280" </w:instrText>
      </w:r>
      <w:r>
        <w:fldChar w:fldCharType="separate"/>
      </w:r>
      <w:r>
        <w:rPr>
          <w:rFonts w:eastAsia="宋体"/>
          <w:snapToGrid w:val="0"/>
          <w:spacing w:val="0"/>
          <w:szCs w:val="24"/>
        </w:rPr>
        <w:t>第一节  股份发行</w:t>
      </w:r>
      <w:r>
        <w:tab/>
      </w:r>
      <w:r>
        <w:fldChar w:fldCharType="begin"/>
      </w:r>
      <w:r>
        <w:instrText xml:space="preserve"> PAGEREF _Toc17280 </w:instrText>
      </w:r>
      <w:r>
        <w:fldChar w:fldCharType="separate"/>
      </w:r>
      <w:r>
        <w:t>4</w:t>
      </w:r>
      <w:r>
        <w:fldChar w:fldCharType="end"/>
      </w:r>
      <w:r>
        <w:fldChar w:fldCharType="end"/>
      </w:r>
    </w:p>
    <w:p>
      <w:pPr>
        <w:pStyle w:val="18"/>
        <w:tabs>
          <w:tab w:val="right" w:leader="dot" w:pos="9412"/>
        </w:tabs>
      </w:pPr>
      <w:r>
        <w:fldChar w:fldCharType="begin"/>
      </w:r>
      <w:r>
        <w:instrText xml:space="preserve"> HYPERLINK \l "_Toc30511" </w:instrText>
      </w:r>
      <w:r>
        <w:fldChar w:fldCharType="separate"/>
      </w:r>
      <w:r>
        <w:rPr>
          <w:rFonts w:eastAsia="宋体"/>
          <w:snapToGrid w:val="0"/>
          <w:spacing w:val="0"/>
          <w:szCs w:val="24"/>
        </w:rPr>
        <w:t>第二节  股份增减和回购</w:t>
      </w:r>
      <w:r>
        <w:tab/>
      </w:r>
      <w:r>
        <w:fldChar w:fldCharType="begin"/>
      </w:r>
      <w:r>
        <w:instrText xml:space="preserve"> PAGEREF _Toc30511 </w:instrText>
      </w:r>
      <w:r>
        <w:fldChar w:fldCharType="separate"/>
      </w:r>
      <w:r>
        <w:t>5</w:t>
      </w:r>
      <w:r>
        <w:fldChar w:fldCharType="end"/>
      </w:r>
      <w:r>
        <w:fldChar w:fldCharType="end"/>
      </w:r>
    </w:p>
    <w:p>
      <w:pPr>
        <w:pStyle w:val="18"/>
        <w:tabs>
          <w:tab w:val="right" w:leader="dot" w:pos="9412"/>
        </w:tabs>
      </w:pPr>
      <w:r>
        <w:fldChar w:fldCharType="begin"/>
      </w:r>
      <w:r>
        <w:instrText xml:space="preserve"> HYPERLINK \l "_Toc28698" </w:instrText>
      </w:r>
      <w:r>
        <w:fldChar w:fldCharType="separate"/>
      </w:r>
      <w:r>
        <w:rPr>
          <w:rFonts w:eastAsia="宋体"/>
          <w:snapToGrid w:val="0"/>
          <w:spacing w:val="0"/>
          <w:szCs w:val="24"/>
        </w:rPr>
        <w:t>第三节  股份转让</w:t>
      </w:r>
      <w:r>
        <w:tab/>
      </w:r>
      <w:r>
        <w:fldChar w:fldCharType="begin"/>
      </w:r>
      <w:r>
        <w:instrText xml:space="preserve"> PAGEREF _Toc28698 </w:instrText>
      </w:r>
      <w:r>
        <w:fldChar w:fldCharType="separate"/>
      </w:r>
      <w:r>
        <w:t>6</w:t>
      </w:r>
      <w:r>
        <w:fldChar w:fldCharType="end"/>
      </w:r>
      <w:r>
        <w:fldChar w:fldCharType="end"/>
      </w:r>
    </w:p>
    <w:p>
      <w:pPr>
        <w:pStyle w:val="15"/>
        <w:tabs>
          <w:tab w:val="right" w:leader="dot" w:pos="9412"/>
        </w:tabs>
      </w:pPr>
      <w:r>
        <w:fldChar w:fldCharType="begin"/>
      </w:r>
      <w:r>
        <w:instrText xml:space="preserve"> HYPERLINK \l "_Toc1249" </w:instrText>
      </w:r>
      <w:r>
        <w:fldChar w:fldCharType="separate"/>
      </w:r>
      <w:r>
        <w:rPr>
          <w:rFonts w:eastAsia="宋体"/>
          <w:spacing w:val="0"/>
          <w:szCs w:val="30"/>
        </w:rPr>
        <w:t>第四章  股东和股东大会</w:t>
      </w:r>
      <w:r>
        <w:tab/>
      </w:r>
      <w:r>
        <w:fldChar w:fldCharType="begin"/>
      </w:r>
      <w:r>
        <w:instrText xml:space="preserve"> PAGEREF _Toc1249 </w:instrText>
      </w:r>
      <w:r>
        <w:fldChar w:fldCharType="separate"/>
      </w:r>
      <w:r>
        <w:t>7</w:t>
      </w:r>
      <w:r>
        <w:fldChar w:fldCharType="end"/>
      </w:r>
      <w:r>
        <w:fldChar w:fldCharType="end"/>
      </w:r>
    </w:p>
    <w:p>
      <w:pPr>
        <w:pStyle w:val="18"/>
        <w:tabs>
          <w:tab w:val="right" w:leader="dot" w:pos="9412"/>
        </w:tabs>
      </w:pPr>
      <w:r>
        <w:fldChar w:fldCharType="begin"/>
      </w:r>
      <w:r>
        <w:instrText xml:space="preserve"> HYPERLINK \l "_Toc21926" </w:instrText>
      </w:r>
      <w:r>
        <w:fldChar w:fldCharType="separate"/>
      </w:r>
      <w:r>
        <w:rPr>
          <w:rFonts w:eastAsia="宋体"/>
          <w:snapToGrid w:val="0"/>
          <w:spacing w:val="0"/>
          <w:szCs w:val="24"/>
        </w:rPr>
        <w:t>第一节  股东</w:t>
      </w:r>
      <w:r>
        <w:tab/>
      </w:r>
      <w:r>
        <w:fldChar w:fldCharType="begin"/>
      </w:r>
      <w:r>
        <w:instrText xml:space="preserve"> PAGEREF _Toc21926 </w:instrText>
      </w:r>
      <w:r>
        <w:fldChar w:fldCharType="separate"/>
      </w:r>
      <w:r>
        <w:t>7</w:t>
      </w:r>
      <w:r>
        <w:fldChar w:fldCharType="end"/>
      </w:r>
      <w:r>
        <w:fldChar w:fldCharType="end"/>
      </w:r>
    </w:p>
    <w:p>
      <w:pPr>
        <w:pStyle w:val="18"/>
        <w:tabs>
          <w:tab w:val="right" w:leader="dot" w:pos="9412"/>
        </w:tabs>
      </w:pPr>
      <w:r>
        <w:fldChar w:fldCharType="begin"/>
      </w:r>
      <w:r>
        <w:instrText xml:space="preserve"> HYPERLINK \l "_Toc19708" </w:instrText>
      </w:r>
      <w:r>
        <w:fldChar w:fldCharType="separate"/>
      </w:r>
      <w:r>
        <w:rPr>
          <w:rFonts w:eastAsia="宋体"/>
          <w:snapToGrid w:val="0"/>
          <w:spacing w:val="0"/>
          <w:szCs w:val="24"/>
        </w:rPr>
        <w:t>第二节  股东大会的一般规定</w:t>
      </w:r>
      <w:r>
        <w:tab/>
      </w:r>
      <w:r>
        <w:fldChar w:fldCharType="begin"/>
      </w:r>
      <w:r>
        <w:instrText xml:space="preserve"> PAGEREF _Toc19708 </w:instrText>
      </w:r>
      <w:r>
        <w:fldChar w:fldCharType="separate"/>
      </w:r>
      <w:r>
        <w:t>9</w:t>
      </w:r>
      <w:r>
        <w:fldChar w:fldCharType="end"/>
      </w:r>
      <w:r>
        <w:fldChar w:fldCharType="end"/>
      </w:r>
    </w:p>
    <w:p>
      <w:pPr>
        <w:pStyle w:val="18"/>
        <w:tabs>
          <w:tab w:val="right" w:leader="dot" w:pos="9412"/>
        </w:tabs>
      </w:pPr>
      <w:r>
        <w:fldChar w:fldCharType="begin"/>
      </w:r>
      <w:r>
        <w:instrText xml:space="preserve"> HYPERLINK \l "_Toc9532" </w:instrText>
      </w:r>
      <w:r>
        <w:fldChar w:fldCharType="separate"/>
      </w:r>
      <w:r>
        <w:rPr>
          <w:rFonts w:eastAsia="宋体"/>
          <w:snapToGrid w:val="0"/>
          <w:spacing w:val="0"/>
          <w:szCs w:val="24"/>
        </w:rPr>
        <w:t>第三节  股东大会的召集</w:t>
      </w:r>
      <w:r>
        <w:tab/>
      </w:r>
      <w:r>
        <w:fldChar w:fldCharType="begin"/>
      </w:r>
      <w:r>
        <w:instrText xml:space="preserve"> PAGEREF _Toc9532 </w:instrText>
      </w:r>
      <w:r>
        <w:fldChar w:fldCharType="separate"/>
      </w:r>
      <w:r>
        <w:t>13</w:t>
      </w:r>
      <w:r>
        <w:fldChar w:fldCharType="end"/>
      </w:r>
      <w:r>
        <w:fldChar w:fldCharType="end"/>
      </w:r>
    </w:p>
    <w:p>
      <w:pPr>
        <w:pStyle w:val="18"/>
        <w:tabs>
          <w:tab w:val="right" w:leader="dot" w:pos="9412"/>
        </w:tabs>
      </w:pPr>
      <w:r>
        <w:fldChar w:fldCharType="begin"/>
      </w:r>
      <w:r>
        <w:instrText xml:space="preserve"> HYPERLINK \l "_Toc12328" </w:instrText>
      </w:r>
      <w:r>
        <w:fldChar w:fldCharType="separate"/>
      </w:r>
      <w:r>
        <w:rPr>
          <w:rFonts w:eastAsia="宋体"/>
          <w:snapToGrid w:val="0"/>
          <w:spacing w:val="0"/>
          <w:szCs w:val="24"/>
        </w:rPr>
        <w:t>第四节  股东大会的提案与通知</w:t>
      </w:r>
      <w:r>
        <w:tab/>
      </w:r>
      <w:r>
        <w:fldChar w:fldCharType="begin"/>
      </w:r>
      <w:r>
        <w:instrText xml:space="preserve"> PAGEREF _Toc12328 </w:instrText>
      </w:r>
      <w:r>
        <w:fldChar w:fldCharType="separate"/>
      </w:r>
      <w:r>
        <w:t>14</w:t>
      </w:r>
      <w:r>
        <w:fldChar w:fldCharType="end"/>
      </w:r>
      <w:r>
        <w:fldChar w:fldCharType="end"/>
      </w:r>
    </w:p>
    <w:p>
      <w:pPr>
        <w:pStyle w:val="18"/>
        <w:tabs>
          <w:tab w:val="right" w:leader="dot" w:pos="9412"/>
        </w:tabs>
      </w:pPr>
      <w:r>
        <w:fldChar w:fldCharType="begin"/>
      </w:r>
      <w:r>
        <w:instrText xml:space="preserve"> HYPERLINK \l "_Toc10507" </w:instrText>
      </w:r>
      <w:r>
        <w:fldChar w:fldCharType="separate"/>
      </w:r>
      <w:r>
        <w:rPr>
          <w:rFonts w:eastAsia="宋体"/>
          <w:snapToGrid w:val="0"/>
          <w:spacing w:val="0"/>
          <w:szCs w:val="24"/>
        </w:rPr>
        <w:t>第五节  股东大会的召开</w:t>
      </w:r>
      <w:r>
        <w:tab/>
      </w:r>
      <w:r>
        <w:fldChar w:fldCharType="begin"/>
      </w:r>
      <w:r>
        <w:instrText xml:space="preserve"> PAGEREF _Toc10507 </w:instrText>
      </w:r>
      <w:r>
        <w:fldChar w:fldCharType="separate"/>
      </w:r>
      <w:r>
        <w:t>15</w:t>
      </w:r>
      <w:r>
        <w:fldChar w:fldCharType="end"/>
      </w:r>
      <w:r>
        <w:fldChar w:fldCharType="end"/>
      </w:r>
    </w:p>
    <w:p>
      <w:pPr>
        <w:pStyle w:val="18"/>
        <w:tabs>
          <w:tab w:val="right" w:leader="dot" w:pos="9412"/>
        </w:tabs>
      </w:pPr>
      <w:r>
        <w:fldChar w:fldCharType="begin"/>
      </w:r>
      <w:r>
        <w:instrText xml:space="preserve"> HYPERLINK \l "_Toc13148" </w:instrText>
      </w:r>
      <w:r>
        <w:fldChar w:fldCharType="separate"/>
      </w:r>
      <w:r>
        <w:rPr>
          <w:rFonts w:eastAsia="宋体"/>
          <w:snapToGrid w:val="0"/>
          <w:spacing w:val="0"/>
          <w:szCs w:val="24"/>
        </w:rPr>
        <w:t>第六节  股东大会的表决和决议</w:t>
      </w:r>
      <w:r>
        <w:tab/>
      </w:r>
      <w:r>
        <w:fldChar w:fldCharType="begin"/>
      </w:r>
      <w:r>
        <w:instrText xml:space="preserve"> PAGEREF _Toc13148 </w:instrText>
      </w:r>
      <w:r>
        <w:fldChar w:fldCharType="separate"/>
      </w:r>
      <w:r>
        <w:t>18</w:t>
      </w:r>
      <w:r>
        <w:fldChar w:fldCharType="end"/>
      </w:r>
      <w:r>
        <w:fldChar w:fldCharType="end"/>
      </w:r>
    </w:p>
    <w:p>
      <w:pPr>
        <w:pStyle w:val="15"/>
        <w:tabs>
          <w:tab w:val="right" w:leader="dot" w:pos="9412"/>
        </w:tabs>
      </w:pPr>
      <w:r>
        <w:fldChar w:fldCharType="begin"/>
      </w:r>
      <w:r>
        <w:instrText xml:space="preserve"> HYPERLINK \l "_Toc12205" </w:instrText>
      </w:r>
      <w:r>
        <w:fldChar w:fldCharType="separate"/>
      </w:r>
      <w:r>
        <w:rPr>
          <w:rFonts w:eastAsia="宋体"/>
          <w:spacing w:val="0"/>
          <w:szCs w:val="30"/>
        </w:rPr>
        <w:t>第五章  董事会</w:t>
      </w:r>
      <w:r>
        <w:tab/>
      </w:r>
      <w:r>
        <w:fldChar w:fldCharType="begin"/>
      </w:r>
      <w:r>
        <w:instrText xml:space="preserve"> PAGEREF _Toc12205 </w:instrText>
      </w:r>
      <w:r>
        <w:fldChar w:fldCharType="separate"/>
      </w:r>
      <w:r>
        <w:t>22</w:t>
      </w:r>
      <w:r>
        <w:fldChar w:fldCharType="end"/>
      </w:r>
      <w:r>
        <w:fldChar w:fldCharType="end"/>
      </w:r>
    </w:p>
    <w:p>
      <w:pPr>
        <w:pStyle w:val="18"/>
        <w:tabs>
          <w:tab w:val="right" w:leader="dot" w:pos="9412"/>
        </w:tabs>
      </w:pPr>
      <w:r>
        <w:fldChar w:fldCharType="begin"/>
      </w:r>
      <w:r>
        <w:instrText xml:space="preserve"> HYPERLINK \l "_Toc14937" </w:instrText>
      </w:r>
      <w:r>
        <w:fldChar w:fldCharType="separate"/>
      </w:r>
      <w:r>
        <w:rPr>
          <w:rFonts w:eastAsia="宋体"/>
          <w:snapToGrid w:val="0"/>
          <w:spacing w:val="0"/>
          <w:szCs w:val="24"/>
        </w:rPr>
        <w:t>第一节 董事</w:t>
      </w:r>
      <w:r>
        <w:tab/>
      </w:r>
      <w:r>
        <w:fldChar w:fldCharType="begin"/>
      </w:r>
      <w:r>
        <w:instrText xml:space="preserve"> PAGEREF _Toc14937 </w:instrText>
      </w:r>
      <w:r>
        <w:fldChar w:fldCharType="separate"/>
      </w:r>
      <w:r>
        <w:t>22</w:t>
      </w:r>
      <w:r>
        <w:fldChar w:fldCharType="end"/>
      </w:r>
      <w:r>
        <w:fldChar w:fldCharType="end"/>
      </w:r>
    </w:p>
    <w:p>
      <w:pPr>
        <w:pStyle w:val="18"/>
        <w:tabs>
          <w:tab w:val="right" w:leader="dot" w:pos="9412"/>
        </w:tabs>
      </w:pPr>
      <w:r>
        <w:fldChar w:fldCharType="begin"/>
      </w:r>
      <w:r>
        <w:instrText xml:space="preserve"> HYPERLINK \l "_Toc26408" </w:instrText>
      </w:r>
      <w:r>
        <w:fldChar w:fldCharType="separate"/>
      </w:r>
      <w:r>
        <w:rPr>
          <w:rFonts w:eastAsia="宋体"/>
          <w:snapToGrid w:val="0"/>
          <w:spacing w:val="0"/>
          <w:szCs w:val="24"/>
        </w:rPr>
        <w:t>第二节 董事会</w:t>
      </w:r>
      <w:r>
        <w:tab/>
      </w:r>
      <w:r>
        <w:fldChar w:fldCharType="begin"/>
      </w:r>
      <w:r>
        <w:instrText xml:space="preserve"> PAGEREF _Toc26408 </w:instrText>
      </w:r>
      <w:r>
        <w:fldChar w:fldCharType="separate"/>
      </w:r>
      <w:r>
        <w:t>25</w:t>
      </w:r>
      <w:r>
        <w:fldChar w:fldCharType="end"/>
      </w:r>
      <w:r>
        <w:fldChar w:fldCharType="end"/>
      </w:r>
    </w:p>
    <w:p>
      <w:pPr>
        <w:pStyle w:val="18"/>
        <w:tabs>
          <w:tab w:val="right" w:leader="dot" w:pos="9412"/>
        </w:tabs>
      </w:pPr>
      <w:r>
        <w:fldChar w:fldCharType="begin"/>
      </w:r>
      <w:r>
        <w:instrText xml:space="preserve"> HYPERLINK \l "_Toc22323" </w:instrText>
      </w:r>
      <w:r>
        <w:fldChar w:fldCharType="separate"/>
      </w:r>
      <w:r>
        <w:rPr>
          <w:rFonts w:eastAsia="宋体"/>
          <w:snapToGrid w:val="0"/>
          <w:spacing w:val="0"/>
          <w:szCs w:val="24"/>
        </w:rPr>
        <w:t xml:space="preserve">第三节 </w:t>
      </w:r>
      <w:r>
        <w:rPr>
          <w:rFonts w:hint="eastAsia" w:eastAsia="宋体"/>
          <w:snapToGrid w:val="0"/>
          <w:spacing w:val="0"/>
          <w:szCs w:val="24"/>
        </w:rPr>
        <w:t>董事会专门委员会</w:t>
      </w:r>
      <w:r>
        <w:tab/>
      </w:r>
      <w:r>
        <w:fldChar w:fldCharType="begin"/>
      </w:r>
      <w:r>
        <w:instrText xml:space="preserve"> PAGEREF _Toc22323 </w:instrText>
      </w:r>
      <w:r>
        <w:fldChar w:fldCharType="separate"/>
      </w:r>
      <w:r>
        <w:t>29</w:t>
      </w:r>
      <w:r>
        <w:fldChar w:fldCharType="end"/>
      </w:r>
      <w:r>
        <w:fldChar w:fldCharType="end"/>
      </w:r>
    </w:p>
    <w:p>
      <w:pPr>
        <w:pStyle w:val="18"/>
        <w:tabs>
          <w:tab w:val="right" w:leader="dot" w:pos="9412"/>
        </w:tabs>
      </w:pPr>
      <w:r>
        <w:fldChar w:fldCharType="begin"/>
      </w:r>
      <w:r>
        <w:instrText xml:space="preserve"> HYPERLINK \l "_Toc19673" </w:instrText>
      </w:r>
      <w:r>
        <w:fldChar w:fldCharType="separate"/>
      </w:r>
      <w:r>
        <w:rPr>
          <w:rFonts w:eastAsia="宋体"/>
          <w:snapToGrid w:val="0"/>
          <w:spacing w:val="0"/>
          <w:szCs w:val="24"/>
        </w:rPr>
        <w:t xml:space="preserve">第四节 </w:t>
      </w:r>
      <w:r>
        <w:rPr>
          <w:rFonts w:hint="eastAsia" w:eastAsia="宋体"/>
          <w:snapToGrid w:val="0"/>
          <w:spacing w:val="0"/>
          <w:szCs w:val="24"/>
        </w:rPr>
        <w:t>独立董事</w:t>
      </w:r>
      <w:r>
        <w:tab/>
      </w:r>
      <w:r>
        <w:fldChar w:fldCharType="begin"/>
      </w:r>
      <w:r>
        <w:instrText xml:space="preserve"> PAGEREF _Toc19673 </w:instrText>
      </w:r>
      <w:r>
        <w:fldChar w:fldCharType="separate"/>
      </w:r>
      <w:r>
        <w:t>30</w:t>
      </w:r>
      <w:r>
        <w:fldChar w:fldCharType="end"/>
      </w:r>
      <w:r>
        <w:fldChar w:fldCharType="end"/>
      </w:r>
    </w:p>
    <w:p>
      <w:pPr>
        <w:pStyle w:val="15"/>
        <w:tabs>
          <w:tab w:val="right" w:leader="dot" w:pos="9412"/>
        </w:tabs>
      </w:pPr>
      <w:r>
        <w:fldChar w:fldCharType="begin"/>
      </w:r>
      <w:r>
        <w:instrText xml:space="preserve"> HYPERLINK \l "_Toc24323" </w:instrText>
      </w:r>
      <w:r>
        <w:fldChar w:fldCharType="separate"/>
      </w:r>
      <w:r>
        <w:rPr>
          <w:rFonts w:eastAsia="宋体"/>
          <w:spacing w:val="0"/>
          <w:szCs w:val="30"/>
        </w:rPr>
        <w:t xml:space="preserve">第六章  </w:t>
      </w:r>
      <w:r>
        <w:rPr>
          <w:rFonts w:hint="eastAsia" w:eastAsia="宋体"/>
          <w:spacing w:val="0"/>
          <w:szCs w:val="30"/>
        </w:rPr>
        <w:t>总经理</w:t>
      </w:r>
      <w:r>
        <w:rPr>
          <w:rFonts w:eastAsia="宋体"/>
          <w:spacing w:val="0"/>
          <w:szCs w:val="30"/>
        </w:rPr>
        <w:t>及其他高级管理人员</w:t>
      </w:r>
      <w:r>
        <w:tab/>
      </w:r>
      <w:r>
        <w:fldChar w:fldCharType="begin"/>
      </w:r>
      <w:r>
        <w:instrText xml:space="preserve"> PAGEREF _Toc24323 </w:instrText>
      </w:r>
      <w:r>
        <w:fldChar w:fldCharType="separate"/>
      </w:r>
      <w:r>
        <w:t>31</w:t>
      </w:r>
      <w:r>
        <w:fldChar w:fldCharType="end"/>
      </w:r>
      <w:r>
        <w:fldChar w:fldCharType="end"/>
      </w:r>
    </w:p>
    <w:p>
      <w:pPr>
        <w:pStyle w:val="15"/>
        <w:tabs>
          <w:tab w:val="right" w:leader="dot" w:pos="9412"/>
        </w:tabs>
      </w:pPr>
      <w:r>
        <w:fldChar w:fldCharType="begin"/>
      </w:r>
      <w:r>
        <w:instrText xml:space="preserve"> HYPERLINK \l "_Toc16863" </w:instrText>
      </w:r>
      <w:r>
        <w:fldChar w:fldCharType="separate"/>
      </w:r>
      <w:r>
        <w:rPr>
          <w:rFonts w:eastAsia="宋体"/>
          <w:spacing w:val="0"/>
          <w:szCs w:val="30"/>
        </w:rPr>
        <w:t>第七章  监事会</w:t>
      </w:r>
      <w:r>
        <w:tab/>
      </w:r>
      <w:r>
        <w:fldChar w:fldCharType="begin"/>
      </w:r>
      <w:r>
        <w:instrText xml:space="preserve"> PAGEREF _Toc16863 </w:instrText>
      </w:r>
      <w:r>
        <w:fldChar w:fldCharType="separate"/>
      </w:r>
      <w:r>
        <w:t>33</w:t>
      </w:r>
      <w:r>
        <w:fldChar w:fldCharType="end"/>
      </w:r>
      <w:r>
        <w:fldChar w:fldCharType="end"/>
      </w:r>
    </w:p>
    <w:p>
      <w:pPr>
        <w:pStyle w:val="18"/>
        <w:tabs>
          <w:tab w:val="right" w:leader="dot" w:pos="9412"/>
        </w:tabs>
      </w:pPr>
      <w:r>
        <w:fldChar w:fldCharType="begin"/>
      </w:r>
      <w:r>
        <w:instrText xml:space="preserve"> HYPERLINK \l "_Toc13615" </w:instrText>
      </w:r>
      <w:r>
        <w:fldChar w:fldCharType="separate"/>
      </w:r>
      <w:r>
        <w:rPr>
          <w:rFonts w:eastAsia="宋体"/>
          <w:snapToGrid w:val="0"/>
          <w:spacing w:val="0"/>
        </w:rPr>
        <w:t xml:space="preserve">第一节 </w:t>
      </w:r>
      <w:r>
        <w:rPr>
          <w:rFonts w:eastAsia="宋体"/>
          <w:snapToGrid w:val="0"/>
          <w:spacing w:val="0"/>
          <w:szCs w:val="24"/>
        </w:rPr>
        <w:t>监事</w:t>
      </w:r>
      <w:r>
        <w:tab/>
      </w:r>
      <w:r>
        <w:fldChar w:fldCharType="begin"/>
      </w:r>
      <w:r>
        <w:instrText xml:space="preserve"> PAGEREF _Toc13615 </w:instrText>
      </w:r>
      <w:r>
        <w:fldChar w:fldCharType="separate"/>
      </w:r>
      <w:r>
        <w:t>33</w:t>
      </w:r>
      <w:r>
        <w:fldChar w:fldCharType="end"/>
      </w:r>
      <w:r>
        <w:fldChar w:fldCharType="end"/>
      </w:r>
    </w:p>
    <w:p>
      <w:pPr>
        <w:pStyle w:val="18"/>
        <w:tabs>
          <w:tab w:val="right" w:leader="dot" w:pos="9412"/>
        </w:tabs>
      </w:pPr>
      <w:r>
        <w:fldChar w:fldCharType="begin"/>
      </w:r>
      <w:r>
        <w:instrText xml:space="preserve"> HYPERLINK \l "_Toc4035" </w:instrText>
      </w:r>
      <w:r>
        <w:fldChar w:fldCharType="separate"/>
      </w:r>
      <w:r>
        <w:rPr>
          <w:rFonts w:eastAsia="宋体"/>
          <w:snapToGrid w:val="0"/>
          <w:spacing w:val="0"/>
          <w:szCs w:val="24"/>
        </w:rPr>
        <w:t>第二节 监事会</w:t>
      </w:r>
      <w:r>
        <w:tab/>
      </w:r>
      <w:r>
        <w:fldChar w:fldCharType="begin"/>
      </w:r>
      <w:r>
        <w:instrText xml:space="preserve"> PAGEREF _Toc4035 </w:instrText>
      </w:r>
      <w:r>
        <w:fldChar w:fldCharType="separate"/>
      </w:r>
      <w:r>
        <w:t>34</w:t>
      </w:r>
      <w:r>
        <w:fldChar w:fldCharType="end"/>
      </w:r>
      <w:r>
        <w:fldChar w:fldCharType="end"/>
      </w:r>
    </w:p>
    <w:p>
      <w:pPr>
        <w:pStyle w:val="15"/>
        <w:tabs>
          <w:tab w:val="right" w:leader="dot" w:pos="9412"/>
        </w:tabs>
      </w:pPr>
      <w:r>
        <w:fldChar w:fldCharType="begin"/>
      </w:r>
      <w:r>
        <w:instrText xml:space="preserve"> HYPERLINK \l "_Toc2542" </w:instrText>
      </w:r>
      <w:r>
        <w:fldChar w:fldCharType="separate"/>
      </w:r>
      <w:r>
        <w:rPr>
          <w:rFonts w:eastAsia="宋体"/>
          <w:spacing w:val="0"/>
          <w:szCs w:val="30"/>
        </w:rPr>
        <w:t xml:space="preserve">第八章  </w:t>
      </w:r>
      <w:r>
        <w:rPr>
          <w:rFonts w:hint="eastAsia" w:eastAsia="宋体"/>
          <w:spacing w:val="0"/>
          <w:szCs w:val="30"/>
        </w:rPr>
        <w:t>董事、监事及高级管理人员的绩效评价与激励约束机制</w:t>
      </w:r>
      <w:r>
        <w:tab/>
      </w:r>
      <w:r>
        <w:fldChar w:fldCharType="begin"/>
      </w:r>
      <w:r>
        <w:instrText xml:space="preserve"> PAGEREF _Toc2542 </w:instrText>
      </w:r>
      <w:r>
        <w:fldChar w:fldCharType="separate"/>
      </w:r>
      <w:r>
        <w:t>35</w:t>
      </w:r>
      <w:r>
        <w:fldChar w:fldCharType="end"/>
      </w:r>
      <w:r>
        <w:fldChar w:fldCharType="end"/>
      </w:r>
    </w:p>
    <w:p>
      <w:pPr>
        <w:pStyle w:val="15"/>
        <w:tabs>
          <w:tab w:val="right" w:leader="dot" w:pos="9412"/>
        </w:tabs>
      </w:pPr>
      <w:r>
        <w:fldChar w:fldCharType="begin"/>
      </w:r>
      <w:r>
        <w:instrText xml:space="preserve"> HYPERLINK \l "_Toc18282" </w:instrText>
      </w:r>
      <w:r>
        <w:fldChar w:fldCharType="separate"/>
      </w:r>
      <w:r>
        <w:rPr>
          <w:rFonts w:eastAsia="宋体"/>
          <w:spacing w:val="0"/>
          <w:szCs w:val="30"/>
        </w:rPr>
        <w:t>第</w:t>
      </w:r>
      <w:r>
        <w:rPr>
          <w:rFonts w:hint="eastAsia" w:eastAsia="宋体"/>
          <w:spacing w:val="0"/>
          <w:szCs w:val="30"/>
        </w:rPr>
        <w:t>九</w:t>
      </w:r>
      <w:r>
        <w:rPr>
          <w:rFonts w:eastAsia="宋体"/>
          <w:spacing w:val="0"/>
          <w:szCs w:val="30"/>
        </w:rPr>
        <w:t xml:space="preserve">章  </w:t>
      </w:r>
      <w:r>
        <w:rPr>
          <w:rFonts w:hint="eastAsia" w:eastAsia="宋体"/>
          <w:spacing w:val="0"/>
          <w:szCs w:val="30"/>
        </w:rPr>
        <w:t>信息披露要求</w:t>
      </w:r>
      <w:r>
        <w:tab/>
      </w:r>
      <w:r>
        <w:fldChar w:fldCharType="begin"/>
      </w:r>
      <w:r>
        <w:instrText xml:space="preserve"> PAGEREF _Toc18282 </w:instrText>
      </w:r>
      <w:r>
        <w:fldChar w:fldCharType="separate"/>
      </w:r>
      <w:r>
        <w:t>36</w:t>
      </w:r>
      <w:r>
        <w:fldChar w:fldCharType="end"/>
      </w:r>
      <w:r>
        <w:fldChar w:fldCharType="end"/>
      </w:r>
    </w:p>
    <w:p>
      <w:pPr>
        <w:pStyle w:val="15"/>
        <w:tabs>
          <w:tab w:val="right" w:leader="dot" w:pos="9412"/>
        </w:tabs>
      </w:pPr>
      <w:r>
        <w:fldChar w:fldCharType="begin"/>
      </w:r>
      <w:r>
        <w:instrText xml:space="preserve"> HYPERLINK \l "_Toc28144" </w:instrText>
      </w:r>
      <w:r>
        <w:fldChar w:fldCharType="separate"/>
      </w:r>
      <w:r>
        <w:rPr>
          <w:rFonts w:eastAsia="宋体"/>
          <w:spacing w:val="0"/>
          <w:szCs w:val="30"/>
        </w:rPr>
        <w:t>第</w:t>
      </w:r>
      <w:r>
        <w:rPr>
          <w:rFonts w:hint="eastAsia" w:eastAsia="宋体"/>
          <w:spacing w:val="0"/>
          <w:szCs w:val="30"/>
        </w:rPr>
        <w:t>十</w:t>
      </w:r>
      <w:r>
        <w:rPr>
          <w:rFonts w:eastAsia="宋体"/>
          <w:spacing w:val="0"/>
          <w:szCs w:val="30"/>
        </w:rPr>
        <w:t>章  财务会计制度、利润分配和审计</w:t>
      </w:r>
      <w:r>
        <w:tab/>
      </w:r>
      <w:r>
        <w:fldChar w:fldCharType="begin"/>
      </w:r>
      <w:r>
        <w:instrText xml:space="preserve"> PAGEREF _Toc28144 </w:instrText>
      </w:r>
      <w:r>
        <w:fldChar w:fldCharType="separate"/>
      </w:r>
      <w:r>
        <w:t>36</w:t>
      </w:r>
      <w:r>
        <w:fldChar w:fldCharType="end"/>
      </w:r>
      <w:r>
        <w:fldChar w:fldCharType="end"/>
      </w:r>
    </w:p>
    <w:p>
      <w:pPr>
        <w:pStyle w:val="18"/>
        <w:tabs>
          <w:tab w:val="right" w:leader="dot" w:pos="9412"/>
        </w:tabs>
      </w:pPr>
      <w:r>
        <w:fldChar w:fldCharType="begin"/>
      </w:r>
      <w:r>
        <w:instrText xml:space="preserve"> HYPERLINK \l "_Toc29849" </w:instrText>
      </w:r>
      <w:r>
        <w:fldChar w:fldCharType="separate"/>
      </w:r>
      <w:r>
        <w:rPr>
          <w:rFonts w:eastAsia="宋体"/>
          <w:snapToGrid w:val="0"/>
          <w:spacing w:val="0"/>
          <w:szCs w:val="24"/>
        </w:rPr>
        <w:t>第一节 财务会计制度</w:t>
      </w:r>
      <w:r>
        <w:tab/>
      </w:r>
      <w:r>
        <w:fldChar w:fldCharType="begin"/>
      </w:r>
      <w:r>
        <w:instrText xml:space="preserve"> PAGEREF _Toc29849 </w:instrText>
      </w:r>
      <w:r>
        <w:fldChar w:fldCharType="separate"/>
      </w:r>
      <w:r>
        <w:t>36</w:t>
      </w:r>
      <w:r>
        <w:fldChar w:fldCharType="end"/>
      </w:r>
      <w:r>
        <w:fldChar w:fldCharType="end"/>
      </w:r>
    </w:p>
    <w:p>
      <w:pPr>
        <w:pStyle w:val="18"/>
        <w:tabs>
          <w:tab w:val="right" w:leader="dot" w:pos="9412"/>
        </w:tabs>
      </w:pPr>
      <w:r>
        <w:fldChar w:fldCharType="begin"/>
      </w:r>
      <w:r>
        <w:instrText xml:space="preserve"> HYPERLINK \l "_Toc27739" </w:instrText>
      </w:r>
      <w:r>
        <w:fldChar w:fldCharType="separate"/>
      </w:r>
      <w:r>
        <w:rPr>
          <w:rFonts w:eastAsia="宋体"/>
          <w:snapToGrid w:val="0"/>
          <w:spacing w:val="0"/>
          <w:szCs w:val="24"/>
        </w:rPr>
        <w:t>第二节 内部审计</w:t>
      </w:r>
      <w:r>
        <w:tab/>
      </w:r>
      <w:r>
        <w:fldChar w:fldCharType="begin"/>
      </w:r>
      <w:r>
        <w:instrText xml:space="preserve"> PAGEREF _Toc27739 </w:instrText>
      </w:r>
      <w:r>
        <w:fldChar w:fldCharType="separate"/>
      </w:r>
      <w:r>
        <w:t>40</w:t>
      </w:r>
      <w:r>
        <w:fldChar w:fldCharType="end"/>
      </w:r>
      <w:r>
        <w:fldChar w:fldCharType="end"/>
      </w:r>
    </w:p>
    <w:p>
      <w:pPr>
        <w:pStyle w:val="18"/>
        <w:tabs>
          <w:tab w:val="right" w:leader="dot" w:pos="9412"/>
        </w:tabs>
      </w:pPr>
      <w:r>
        <w:fldChar w:fldCharType="begin"/>
      </w:r>
      <w:r>
        <w:instrText xml:space="preserve"> HYPERLINK \l "_Toc12946" </w:instrText>
      </w:r>
      <w:r>
        <w:fldChar w:fldCharType="separate"/>
      </w:r>
      <w:r>
        <w:rPr>
          <w:rFonts w:eastAsia="宋体"/>
          <w:snapToGrid w:val="0"/>
          <w:spacing w:val="0"/>
          <w:szCs w:val="24"/>
        </w:rPr>
        <w:t>第三节 会计师事务所的聘任</w:t>
      </w:r>
      <w:r>
        <w:tab/>
      </w:r>
      <w:r>
        <w:fldChar w:fldCharType="begin"/>
      </w:r>
      <w:r>
        <w:instrText xml:space="preserve"> PAGEREF _Toc12946 </w:instrText>
      </w:r>
      <w:r>
        <w:fldChar w:fldCharType="separate"/>
      </w:r>
      <w:r>
        <w:t>40</w:t>
      </w:r>
      <w:r>
        <w:fldChar w:fldCharType="end"/>
      </w:r>
      <w:r>
        <w:fldChar w:fldCharType="end"/>
      </w:r>
    </w:p>
    <w:p>
      <w:pPr>
        <w:pStyle w:val="15"/>
        <w:tabs>
          <w:tab w:val="right" w:leader="dot" w:pos="9412"/>
        </w:tabs>
      </w:pPr>
      <w:r>
        <w:fldChar w:fldCharType="begin"/>
      </w:r>
      <w:r>
        <w:instrText xml:space="preserve"> HYPERLINK \l "_Toc9581" </w:instrText>
      </w:r>
      <w:r>
        <w:fldChar w:fldCharType="separate"/>
      </w:r>
      <w:r>
        <w:rPr>
          <w:rFonts w:hint="eastAsia" w:eastAsia="宋体"/>
          <w:spacing w:val="0"/>
          <w:szCs w:val="30"/>
        </w:rPr>
        <w:t xml:space="preserve">第十一章   </w:t>
      </w:r>
      <w:r>
        <w:rPr>
          <w:rFonts w:eastAsia="宋体"/>
          <w:spacing w:val="0"/>
          <w:szCs w:val="30"/>
        </w:rPr>
        <w:t>通知</w:t>
      </w:r>
      <w:r>
        <w:rPr>
          <w:rFonts w:hint="eastAsia" w:eastAsia="宋体"/>
          <w:spacing w:val="0"/>
          <w:szCs w:val="30"/>
          <w:lang w:val="en-US" w:eastAsia="zh-CN"/>
        </w:rPr>
        <w:t>和公告</w:t>
      </w:r>
      <w:r>
        <w:tab/>
      </w:r>
      <w:r>
        <w:fldChar w:fldCharType="begin"/>
      </w:r>
      <w:r>
        <w:instrText xml:space="preserve"> PAGEREF _Toc9581 </w:instrText>
      </w:r>
      <w:r>
        <w:fldChar w:fldCharType="separate"/>
      </w:r>
      <w:r>
        <w:t>40</w:t>
      </w:r>
      <w:r>
        <w:fldChar w:fldCharType="end"/>
      </w:r>
      <w:r>
        <w:fldChar w:fldCharType="end"/>
      </w:r>
    </w:p>
    <w:p>
      <w:pPr>
        <w:pStyle w:val="18"/>
        <w:tabs>
          <w:tab w:val="right" w:leader="dot" w:pos="9412"/>
        </w:tabs>
      </w:pPr>
      <w:r>
        <w:fldChar w:fldCharType="begin"/>
      </w:r>
      <w:r>
        <w:instrText xml:space="preserve"> HYPERLINK \l "_Toc21132" </w:instrText>
      </w:r>
      <w:r>
        <w:fldChar w:fldCharType="separate"/>
      </w:r>
      <w:r>
        <w:rPr>
          <w:rFonts w:eastAsia="宋体"/>
          <w:snapToGrid w:val="0"/>
          <w:spacing w:val="0"/>
          <w:szCs w:val="24"/>
        </w:rPr>
        <w:t xml:space="preserve">第一节 </w:t>
      </w:r>
      <w:r>
        <w:rPr>
          <w:rFonts w:hint="eastAsia" w:eastAsia="宋体"/>
          <w:snapToGrid w:val="0"/>
          <w:spacing w:val="0"/>
          <w:szCs w:val="24"/>
        </w:rPr>
        <w:t>通知</w:t>
      </w:r>
      <w:r>
        <w:tab/>
      </w:r>
      <w:r>
        <w:fldChar w:fldCharType="begin"/>
      </w:r>
      <w:r>
        <w:instrText xml:space="preserve"> PAGEREF _Toc21132 </w:instrText>
      </w:r>
      <w:r>
        <w:fldChar w:fldCharType="separate"/>
      </w:r>
      <w:r>
        <w:t>40</w:t>
      </w:r>
      <w:r>
        <w:fldChar w:fldCharType="end"/>
      </w:r>
      <w:r>
        <w:fldChar w:fldCharType="end"/>
      </w:r>
    </w:p>
    <w:p>
      <w:pPr>
        <w:pStyle w:val="18"/>
        <w:tabs>
          <w:tab w:val="right" w:leader="dot" w:pos="9412"/>
        </w:tabs>
      </w:pPr>
      <w:r>
        <w:fldChar w:fldCharType="begin"/>
      </w:r>
      <w:r>
        <w:instrText xml:space="preserve"> HYPERLINK \l "_Toc30604" </w:instrText>
      </w:r>
      <w:r>
        <w:fldChar w:fldCharType="separate"/>
      </w:r>
      <w:r>
        <w:rPr>
          <w:rFonts w:eastAsia="宋体"/>
          <w:snapToGrid w:val="0"/>
          <w:spacing w:val="0"/>
          <w:szCs w:val="24"/>
        </w:rPr>
        <w:t xml:space="preserve">第二节 </w:t>
      </w:r>
      <w:r>
        <w:rPr>
          <w:rFonts w:hint="eastAsia" w:eastAsia="宋体"/>
          <w:snapToGrid w:val="0"/>
          <w:spacing w:val="0"/>
          <w:szCs w:val="24"/>
        </w:rPr>
        <w:t>公告</w:t>
      </w:r>
      <w:r>
        <w:tab/>
      </w:r>
      <w:r>
        <w:fldChar w:fldCharType="begin"/>
      </w:r>
      <w:r>
        <w:instrText xml:space="preserve"> PAGEREF _Toc30604 </w:instrText>
      </w:r>
      <w:r>
        <w:fldChar w:fldCharType="separate"/>
      </w:r>
      <w:r>
        <w:t>41</w:t>
      </w:r>
      <w:r>
        <w:fldChar w:fldCharType="end"/>
      </w:r>
      <w:r>
        <w:fldChar w:fldCharType="end"/>
      </w:r>
    </w:p>
    <w:p>
      <w:pPr>
        <w:pStyle w:val="15"/>
        <w:tabs>
          <w:tab w:val="right" w:leader="dot" w:pos="9412"/>
        </w:tabs>
      </w:pPr>
      <w:r>
        <w:fldChar w:fldCharType="begin"/>
      </w:r>
      <w:r>
        <w:instrText xml:space="preserve"> HYPERLINK \l "_Toc2849" </w:instrText>
      </w:r>
      <w:r>
        <w:fldChar w:fldCharType="separate"/>
      </w:r>
      <w:r>
        <w:rPr>
          <w:rFonts w:eastAsia="宋体"/>
          <w:spacing w:val="0"/>
          <w:szCs w:val="30"/>
        </w:rPr>
        <w:t>第十</w:t>
      </w:r>
      <w:r>
        <w:rPr>
          <w:rFonts w:hint="eastAsia" w:eastAsia="宋体"/>
          <w:spacing w:val="0"/>
          <w:szCs w:val="30"/>
        </w:rPr>
        <w:t>二</w:t>
      </w:r>
      <w:r>
        <w:rPr>
          <w:rFonts w:eastAsia="宋体"/>
          <w:spacing w:val="0"/>
          <w:szCs w:val="30"/>
        </w:rPr>
        <w:t>章  合并、分立、增资、减资、解散和清算</w:t>
      </w:r>
      <w:r>
        <w:tab/>
      </w:r>
      <w:r>
        <w:fldChar w:fldCharType="begin"/>
      </w:r>
      <w:r>
        <w:instrText xml:space="preserve"> PAGEREF _Toc2849 </w:instrText>
      </w:r>
      <w:r>
        <w:fldChar w:fldCharType="separate"/>
      </w:r>
      <w:r>
        <w:t>41</w:t>
      </w:r>
      <w:r>
        <w:fldChar w:fldCharType="end"/>
      </w:r>
      <w:r>
        <w:fldChar w:fldCharType="end"/>
      </w:r>
    </w:p>
    <w:p>
      <w:pPr>
        <w:pStyle w:val="18"/>
        <w:tabs>
          <w:tab w:val="right" w:leader="dot" w:pos="9412"/>
        </w:tabs>
      </w:pPr>
      <w:r>
        <w:fldChar w:fldCharType="begin"/>
      </w:r>
      <w:r>
        <w:instrText xml:space="preserve"> HYPERLINK \l "_Toc29075" </w:instrText>
      </w:r>
      <w:r>
        <w:fldChar w:fldCharType="separate"/>
      </w:r>
      <w:r>
        <w:rPr>
          <w:rFonts w:hint="eastAsia" w:eastAsia="宋体"/>
          <w:snapToGrid w:val="0"/>
          <w:spacing w:val="0"/>
          <w:szCs w:val="24"/>
        </w:rPr>
        <w:t xml:space="preserve">第一节  </w:t>
      </w:r>
      <w:r>
        <w:rPr>
          <w:rFonts w:eastAsia="宋体"/>
          <w:snapToGrid w:val="0"/>
          <w:spacing w:val="0"/>
          <w:szCs w:val="24"/>
        </w:rPr>
        <w:t>合并、分立、增资和减资</w:t>
      </w:r>
      <w:r>
        <w:tab/>
      </w:r>
      <w:r>
        <w:fldChar w:fldCharType="begin"/>
      </w:r>
      <w:r>
        <w:instrText xml:space="preserve"> PAGEREF _Toc29075 </w:instrText>
      </w:r>
      <w:r>
        <w:fldChar w:fldCharType="separate"/>
      </w:r>
      <w:r>
        <w:t>41</w:t>
      </w:r>
      <w:r>
        <w:fldChar w:fldCharType="end"/>
      </w:r>
      <w:r>
        <w:fldChar w:fldCharType="end"/>
      </w:r>
    </w:p>
    <w:p>
      <w:pPr>
        <w:pStyle w:val="18"/>
        <w:tabs>
          <w:tab w:val="right" w:leader="dot" w:pos="9412"/>
        </w:tabs>
      </w:pPr>
      <w:r>
        <w:fldChar w:fldCharType="begin"/>
      </w:r>
      <w:r>
        <w:instrText xml:space="preserve"> HYPERLINK \l "_Toc8159" </w:instrText>
      </w:r>
      <w:r>
        <w:fldChar w:fldCharType="separate"/>
      </w:r>
      <w:r>
        <w:rPr>
          <w:rFonts w:hint="eastAsia" w:eastAsia="宋体"/>
          <w:snapToGrid w:val="0"/>
          <w:spacing w:val="0"/>
          <w:szCs w:val="24"/>
        </w:rPr>
        <w:t xml:space="preserve">第二节  </w:t>
      </w:r>
      <w:r>
        <w:rPr>
          <w:rFonts w:eastAsia="宋体"/>
          <w:snapToGrid w:val="0"/>
          <w:spacing w:val="0"/>
          <w:szCs w:val="24"/>
        </w:rPr>
        <w:t>解散和清算</w:t>
      </w:r>
      <w:r>
        <w:tab/>
      </w:r>
      <w:r>
        <w:fldChar w:fldCharType="begin"/>
      </w:r>
      <w:r>
        <w:instrText xml:space="preserve"> PAGEREF _Toc8159 </w:instrText>
      </w:r>
      <w:r>
        <w:fldChar w:fldCharType="separate"/>
      </w:r>
      <w:r>
        <w:t>42</w:t>
      </w:r>
      <w:r>
        <w:fldChar w:fldCharType="end"/>
      </w:r>
      <w:r>
        <w:fldChar w:fldCharType="end"/>
      </w:r>
    </w:p>
    <w:p>
      <w:pPr>
        <w:pStyle w:val="15"/>
        <w:tabs>
          <w:tab w:val="right" w:leader="dot" w:pos="9412"/>
        </w:tabs>
      </w:pPr>
      <w:r>
        <w:fldChar w:fldCharType="begin"/>
      </w:r>
      <w:r>
        <w:instrText xml:space="preserve"> HYPERLINK \l "_Toc24711" </w:instrText>
      </w:r>
      <w:r>
        <w:fldChar w:fldCharType="separate"/>
      </w:r>
      <w:r>
        <w:rPr>
          <w:rFonts w:eastAsia="宋体"/>
          <w:spacing w:val="0"/>
          <w:szCs w:val="30"/>
        </w:rPr>
        <w:t>第十</w:t>
      </w:r>
      <w:r>
        <w:rPr>
          <w:rFonts w:hint="eastAsia" w:eastAsia="宋体"/>
          <w:spacing w:val="0"/>
          <w:szCs w:val="30"/>
        </w:rPr>
        <w:t>三章</w:t>
      </w:r>
      <w:r>
        <w:rPr>
          <w:rFonts w:eastAsia="宋体"/>
          <w:spacing w:val="0"/>
          <w:szCs w:val="30"/>
        </w:rPr>
        <w:t xml:space="preserve">  修改章程</w:t>
      </w:r>
      <w:r>
        <w:tab/>
      </w:r>
      <w:r>
        <w:fldChar w:fldCharType="begin"/>
      </w:r>
      <w:r>
        <w:instrText xml:space="preserve"> PAGEREF _Toc24711 </w:instrText>
      </w:r>
      <w:r>
        <w:fldChar w:fldCharType="separate"/>
      </w:r>
      <w:r>
        <w:t>44</w:t>
      </w:r>
      <w:r>
        <w:fldChar w:fldCharType="end"/>
      </w:r>
      <w:r>
        <w:fldChar w:fldCharType="end"/>
      </w:r>
    </w:p>
    <w:p>
      <w:pPr>
        <w:pStyle w:val="15"/>
        <w:tabs>
          <w:tab w:val="right" w:leader="dot" w:pos="9412"/>
        </w:tabs>
      </w:pPr>
      <w:r>
        <w:fldChar w:fldCharType="begin"/>
      </w:r>
      <w:r>
        <w:instrText xml:space="preserve"> HYPERLINK \l "_Toc10905" </w:instrText>
      </w:r>
      <w:r>
        <w:fldChar w:fldCharType="separate"/>
      </w:r>
      <w:r>
        <w:rPr>
          <w:rFonts w:eastAsia="宋体"/>
          <w:spacing w:val="0"/>
          <w:szCs w:val="30"/>
        </w:rPr>
        <w:t>第十</w:t>
      </w:r>
      <w:r>
        <w:rPr>
          <w:rFonts w:hint="eastAsia" w:eastAsia="宋体"/>
          <w:spacing w:val="0"/>
          <w:szCs w:val="30"/>
        </w:rPr>
        <w:t>四</w:t>
      </w:r>
      <w:r>
        <w:rPr>
          <w:rFonts w:eastAsia="宋体"/>
          <w:spacing w:val="0"/>
          <w:szCs w:val="30"/>
        </w:rPr>
        <w:t>章  附则</w:t>
      </w:r>
      <w:r>
        <w:tab/>
      </w:r>
      <w:r>
        <w:fldChar w:fldCharType="begin"/>
      </w:r>
      <w:r>
        <w:instrText xml:space="preserve"> PAGEREF _Toc10905 </w:instrText>
      </w:r>
      <w:r>
        <w:fldChar w:fldCharType="separate"/>
      </w:r>
      <w:r>
        <w:t>44</w:t>
      </w:r>
      <w:r>
        <w:fldChar w:fldCharType="end"/>
      </w:r>
      <w:r>
        <w:fldChar w:fldCharType="end"/>
      </w:r>
    </w:p>
    <w:p>
      <w:pPr>
        <w:pStyle w:val="15"/>
        <w:pageBreakBefore/>
        <w:tabs>
          <w:tab w:val="right" w:leader="dot" w:pos="8296"/>
        </w:tabs>
        <w:spacing w:line="240" w:lineRule="auto"/>
        <w:rPr>
          <w:rFonts w:ascii="Times New Roman" w:hAnsi="Times New Roman" w:eastAsia="宋体" w:cs="Times New Roman"/>
          <w:b w:val="0"/>
          <w:snapToGrid w:val="0"/>
          <w:spacing w:val="0"/>
          <w:sz w:val="25"/>
          <w:szCs w:val="25"/>
        </w:rPr>
      </w:pPr>
      <w:r>
        <w:rPr>
          <w:rFonts w:ascii="Times New Roman" w:hAnsi="Times New Roman" w:eastAsia="宋体" w:cs="Times New Roman"/>
          <w:bCs w:val="0"/>
          <w:caps w:val="0"/>
          <w:snapToGrid w:val="0"/>
          <w:spacing w:val="0"/>
          <w:szCs w:val="25"/>
        </w:rPr>
        <w:fldChar w:fldCharType="end"/>
      </w:r>
    </w:p>
    <w:p>
      <w:pPr>
        <w:pStyle w:val="2"/>
        <w:tabs>
          <w:tab w:val="left" w:pos="1155"/>
          <w:tab w:val="clear" w:pos="4684"/>
        </w:tabs>
        <w:spacing w:before="120" w:after="0" w:line="460" w:lineRule="exact"/>
        <w:ind w:left="0" w:firstLine="0"/>
        <w:rPr>
          <w:rFonts w:eastAsia="宋体"/>
          <w:b/>
          <w:spacing w:val="0"/>
          <w:kern w:val="0"/>
          <w:sz w:val="30"/>
          <w:szCs w:val="30"/>
        </w:rPr>
      </w:pPr>
      <w:bookmarkStart w:id="0" w:name="_Toc203475051"/>
      <w:r>
        <w:rPr>
          <w:rFonts w:hint="eastAsia" w:eastAsia="宋体"/>
          <w:b/>
          <w:spacing w:val="0"/>
          <w:kern w:val="0"/>
          <w:sz w:val="30"/>
          <w:szCs w:val="30"/>
        </w:rPr>
        <w:t xml:space="preserve"> </w:t>
      </w:r>
      <w:bookmarkStart w:id="1" w:name="_Toc27302"/>
      <w:bookmarkStart w:id="2" w:name="_Toc422141916"/>
      <w:bookmarkStart w:id="3" w:name="_Toc18431"/>
      <w:bookmarkStart w:id="4" w:name="_Toc511054548"/>
      <w:bookmarkStart w:id="5" w:name="_Toc21459"/>
      <w:bookmarkStart w:id="6" w:name="_Toc20931"/>
      <w:r>
        <w:rPr>
          <w:rFonts w:eastAsia="宋体"/>
          <w:b/>
          <w:spacing w:val="0"/>
          <w:kern w:val="0"/>
          <w:sz w:val="30"/>
          <w:szCs w:val="30"/>
        </w:rPr>
        <w:t>总则</w:t>
      </w:r>
      <w:bookmarkEnd w:id="0"/>
      <w:bookmarkEnd w:id="1"/>
      <w:bookmarkEnd w:id="2"/>
      <w:bookmarkEnd w:id="3"/>
      <w:bookmarkEnd w:id="4"/>
      <w:bookmarkEnd w:id="5"/>
      <w:bookmarkEnd w:id="6"/>
    </w:p>
    <w:p>
      <w:pPr>
        <w:numPr>
          <w:ilvl w:val="0"/>
          <w:numId w:val="8"/>
        </w:numPr>
        <w:spacing w:line="460" w:lineRule="exact"/>
        <w:ind w:left="-16" w:firstLine="442"/>
        <w:rPr>
          <w:rFonts w:eastAsia="宋体"/>
          <w:snapToGrid w:val="0"/>
          <w:spacing w:val="0"/>
          <w:sz w:val="24"/>
        </w:rPr>
      </w:pPr>
      <w:r>
        <w:rPr>
          <w:rFonts w:eastAsia="宋体" w:cs="宋体"/>
          <w:spacing w:val="0"/>
          <w:sz w:val="24"/>
        </w:rPr>
        <w:t>为维护</w:t>
      </w:r>
      <w:r>
        <w:rPr>
          <w:rFonts w:hint="eastAsia" w:eastAsia="宋体" w:cs="宋体"/>
          <w:spacing w:val="0"/>
          <w:sz w:val="24"/>
        </w:rPr>
        <w:t>广东宏川智慧物流股份有限公司</w:t>
      </w:r>
      <w:r>
        <w:rPr>
          <w:rFonts w:eastAsia="宋体" w:cs="宋体"/>
          <w:spacing w:val="0"/>
          <w:sz w:val="24"/>
        </w:rPr>
        <w:t>（以下简称</w:t>
      </w:r>
      <w:r>
        <w:rPr>
          <w:rFonts w:hint="eastAsia" w:eastAsia="宋体" w:cs="宋体"/>
          <w:spacing w:val="0"/>
          <w:sz w:val="24"/>
        </w:rPr>
        <w:t>“</w:t>
      </w:r>
      <w:r>
        <w:rPr>
          <w:rFonts w:eastAsia="宋体" w:cs="宋体"/>
          <w:spacing w:val="0"/>
          <w:sz w:val="24"/>
        </w:rPr>
        <w:t>公司</w:t>
      </w:r>
      <w:r>
        <w:rPr>
          <w:rFonts w:hint="eastAsia" w:eastAsia="宋体" w:cs="宋体"/>
          <w:spacing w:val="0"/>
          <w:sz w:val="24"/>
        </w:rPr>
        <w:t>”</w:t>
      </w:r>
      <w:r>
        <w:rPr>
          <w:rFonts w:eastAsia="宋体" w:cs="宋体"/>
          <w:spacing w:val="0"/>
          <w:sz w:val="24"/>
        </w:rPr>
        <w:t>）、股东和债权人的合法权益，规范公司的组织和行为，根据《中华人民共和国公司法》（以下简称</w:t>
      </w:r>
      <w:r>
        <w:rPr>
          <w:rFonts w:hint="eastAsia" w:eastAsia="宋体" w:cs="宋体"/>
          <w:spacing w:val="0"/>
          <w:sz w:val="24"/>
        </w:rPr>
        <w:t>“</w:t>
      </w:r>
      <w:r>
        <w:rPr>
          <w:rFonts w:eastAsia="宋体" w:cs="宋体"/>
          <w:spacing w:val="0"/>
          <w:sz w:val="24"/>
        </w:rPr>
        <w:t>《公司法》</w:t>
      </w:r>
      <w:r>
        <w:rPr>
          <w:rFonts w:hint="eastAsia" w:eastAsia="宋体" w:cs="宋体"/>
          <w:spacing w:val="0"/>
          <w:sz w:val="24"/>
        </w:rPr>
        <w:t>”</w:t>
      </w:r>
      <w:r>
        <w:rPr>
          <w:rFonts w:eastAsia="宋体" w:cs="宋体"/>
          <w:spacing w:val="0"/>
          <w:sz w:val="24"/>
        </w:rPr>
        <w:t>）</w:t>
      </w:r>
      <w:r>
        <w:rPr>
          <w:rFonts w:hint="eastAsia" w:eastAsia="宋体" w:cs="宋体"/>
          <w:spacing w:val="0"/>
          <w:sz w:val="24"/>
        </w:rPr>
        <w:t>、《中华人民共和国证券法》（以下简称“《证券法》”）</w:t>
      </w:r>
      <w:r>
        <w:rPr>
          <w:rFonts w:eastAsia="宋体" w:cs="宋体"/>
          <w:spacing w:val="0"/>
          <w:sz w:val="24"/>
        </w:rPr>
        <w:t>和</w:t>
      </w:r>
      <w:r>
        <w:rPr>
          <w:rFonts w:hint="eastAsia" w:eastAsia="宋体" w:cs="宋体"/>
          <w:spacing w:val="0"/>
          <w:sz w:val="24"/>
        </w:rPr>
        <w:t>中国证券监督管理委员会（以下简称“中国证监会”）颁发的《上市公司章程指引》和</w:t>
      </w:r>
      <w:r>
        <w:rPr>
          <w:rFonts w:eastAsia="宋体" w:cs="宋体"/>
          <w:spacing w:val="0"/>
          <w:sz w:val="24"/>
        </w:rPr>
        <w:t>其他有关规定，制订本章程。</w:t>
      </w:r>
    </w:p>
    <w:p>
      <w:pPr>
        <w:numPr>
          <w:ilvl w:val="0"/>
          <w:numId w:val="8"/>
        </w:numPr>
        <w:spacing w:line="460" w:lineRule="exact"/>
        <w:ind w:left="-16" w:firstLine="442"/>
        <w:rPr>
          <w:rFonts w:eastAsia="宋体" w:cs="宋体"/>
          <w:spacing w:val="0"/>
          <w:sz w:val="24"/>
        </w:rPr>
      </w:pPr>
      <w:r>
        <w:rPr>
          <w:rFonts w:eastAsia="宋体" w:cs="宋体"/>
          <w:spacing w:val="0"/>
          <w:sz w:val="24"/>
        </w:rPr>
        <w:t>公司系依照《公司法》和其他有关规定成立的股份有限公司。</w:t>
      </w:r>
    </w:p>
    <w:p>
      <w:pPr>
        <w:numPr>
          <w:ilvl w:val="255"/>
          <w:numId w:val="0"/>
        </w:numPr>
        <w:tabs>
          <w:tab w:val="left" w:pos="0"/>
        </w:tabs>
        <w:spacing w:line="460" w:lineRule="exact"/>
        <w:ind w:left="6" w:firstLine="420" w:firstLineChars="175"/>
        <w:rPr>
          <w:rFonts w:eastAsia="宋体" w:cs="宋体"/>
          <w:spacing w:val="0"/>
          <w:sz w:val="24"/>
        </w:rPr>
      </w:pPr>
      <w:r>
        <w:rPr>
          <w:rFonts w:eastAsia="宋体" w:cs="宋体"/>
          <w:spacing w:val="0"/>
          <w:sz w:val="24"/>
        </w:rPr>
        <w:t>公司系</w:t>
      </w:r>
      <w:r>
        <w:rPr>
          <w:rFonts w:hint="eastAsia" w:eastAsia="宋体" w:cs="宋体"/>
          <w:spacing w:val="0"/>
          <w:sz w:val="24"/>
        </w:rPr>
        <w:t>广东宏川实业发展</w:t>
      </w:r>
      <w:r>
        <w:rPr>
          <w:rFonts w:eastAsia="宋体" w:cs="宋体"/>
          <w:spacing w:val="0"/>
          <w:sz w:val="24"/>
        </w:rPr>
        <w:t>有限公司按原</w:t>
      </w:r>
      <w:r>
        <w:rPr>
          <w:rFonts w:hint="eastAsia" w:eastAsia="宋体" w:cs="宋体"/>
          <w:spacing w:val="0"/>
          <w:sz w:val="24"/>
        </w:rPr>
        <w:t>账面</w:t>
      </w:r>
      <w:r>
        <w:rPr>
          <w:rFonts w:eastAsia="宋体" w:cs="宋体"/>
          <w:spacing w:val="0"/>
          <w:sz w:val="24"/>
        </w:rPr>
        <w:t>净资产值折股整体变更的股份有限公司</w:t>
      </w:r>
      <w:r>
        <w:rPr>
          <w:rFonts w:hint="eastAsia" w:eastAsia="宋体" w:cs="宋体"/>
          <w:spacing w:val="0"/>
          <w:sz w:val="24"/>
        </w:rPr>
        <w:t>，并由广东宏川实业发展有限公司原股东以发起方式设立；公司在东莞市工商行政管理局注册登记，取得营业执照，统一社会信用代码为</w:t>
      </w:r>
      <w:r>
        <w:rPr>
          <w:rFonts w:eastAsia="宋体" w:cs="宋体"/>
          <w:spacing w:val="0"/>
          <w:sz w:val="24"/>
        </w:rPr>
        <w:t>914419000567906972</w:t>
      </w:r>
      <w:r>
        <w:rPr>
          <w:rFonts w:hint="eastAsia" w:eastAsia="宋体" w:cs="宋体"/>
          <w:spacing w:val="0"/>
          <w:sz w:val="24"/>
        </w:rPr>
        <w:t>。</w:t>
      </w:r>
    </w:p>
    <w:p>
      <w:pPr>
        <w:numPr>
          <w:ilvl w:val="0"/>
          <w:numId w:val="8"/>
        </w:numPr>
        <w:spacing w:line="460" w:lineRule="exact"/>
        <w:ind w:left="-16" w:firstLine="442"/>
        <w:rPr>
          <w:rFonts w:eastAsia="宋体" w:cs="宋体"/>
          <w:spacing w:val="0"/>
          <w:sz w:val="24"/>
        </w:rPr>
      </w:pPr>
      <w:r>
        <w:rPr>
          <w:rFonts w:hint="eastAsia" w:eastAsia="宋体" w:cs="宋体"/>
          <w:spacing w:val="0"/>
          <w:sz w:val="24"/>
        </w:rPr>
        <w:t>公司于2</w:t>
      </w:r>
      <w:r>
        <w:rPr>
          <w:rFonts w:eastAsia="宋体" w:cs="宋体"/>
          <w:spacing w:val="0"/>
          <w:sz w:val="24"/>
        </w:rPr>
        <w:t>018年</w:t>
      </w:r>
      <w:r>
        <w:rPr>
          <w:rFonts w:hint="eastAsia" w:eastAsia="宋体" w:cs="宋体"/>
          <w:spacing w:val="0"/>
          <w:sz w:val="24"/>
        </w:rPr>
        <w:t>2月9日经中国证监会批准，首次向社会公众发行人民币普通股6</w:t>
      </w:r>
      <w:r>
        <w:rPr>
          <w:rFonts w:eastAsia="宋体" w:cs="宋体"/>
          <w:spacing w:val="0"/>
          <w:sz w:val="24"/>
        </w:rPr>
        <w:t>,</w:t>
      </w:r>
      <w:r>
        <w:rPr>
          <w:rFonts w:hint="eastAsia" w:eastAsia="宋体" w:cs="宋体"/>
          <w:spacing w:val="0"/>
          <w:sz w:val="24"/>
        </w:rPr>
        <w:t>083万股，于2</w:t>
      </w:r>
      <w:r>
        <w:rPr>
          <w:rFonts w:eastAsia="宋体" w:cs="宋体"/>
          <w:spacing w:val="0"/>
          <w:sz w:val="24"/>
        </w:rPr>
        <w:t>018年</w:t>
      </w:r>
      <w:r>
        <w:rPr>
          <w:rFonts w:hint="eastAsia" w:eastAsia="宋体" w:cs="宋体"/>
          <w:spacing w:val="0"/>
          <w:sz w:val="24"/>
        </w:rPr>
        <w:t>3月28日在深圳证券交易所上市。</w:t>
      </w:r>
    </w:p>
    <w:p>
      <w:pPr>
        <w:tabs>
          <w:tab w:val="left" w:pos="0"/>
        </w:tabs>
        <w:spacing w:line="460" w:lineRule="exact"/>
        <w:ind w:left="-16" w:firstLine="398" w:firstLineChars="166"/>
        <w:rPr>
          <w:rFonts w:eastAsia="宋体" w:cs="宋体"/>
          <w:spacing w:val="0"/>
          <w:sz w:val="24"/>
        </w:rPr>
      </w:pPr>
      <w:r>
        <w:rPr>
          <w:rFonts w:hint="eastAsia" w:eastAsia="宋体" w:cs="宋体"/>
          <w:spacing w:val="0"/>
          <w:sz w:val="24"/>
        </w:rPr>
        <w:t>公司股票被终止上市后（主动退市除外）股票进入全国中小企业股份转让系统进行转让。</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公司注册名称：</w:t>
      </w:r>
      <w:r>
        <w:rPr>
          <w:rFonts w:hint="eastAsia" w:eastAsia="宋体"/>
          <w:snapToGrid w:val="0"/>
          <w:spacing w:val="0"/>
          <w:sz w:val="24"/>
        </w:rPr>
        <w:t>广东宏川智慧物流股份有限公司</w:t>
      </w:r>
    </w:p>
    <w:p>
      <w:pPr>
        <w:spacing w:line="460" w:lineRule="exact"/>
        <w:ind w:firstLine="480" w:firstLineChars="200"/>
        <w:rPr>
          <w:rFonts w:eastAsia="宋体"/>
          <w:snapToGrid w:val="0"/>
          <w:spacing w:val="0"/>
          <w:sz w:val="24"/>
        </w:rPr>
      </w:pPr>
      <w:r>
        <w:rPr>
          <w:rFonts w:hint="eastAsia" w:eastAsia="宋体"/>
          <w:snapToGrid w:val="0"/>
          <w:spacing w:val="0"/>
          <w:sz w:val="24"/>
        </w:rPr>
        <w:t>公司的英文名称：Guangdong</w:t>
      </w:r>
      <w:r>
        <w:rPr>
          <w:rFonts w:eastAsia="宋体"/>
          <w:snapToGrid w:val="0"/>
          <w:spacing w:val="0"/>
          <w:sz w:val="24"/>
        </w:rPr>
        <w:t xml:space="preserve"> Great River Smarter Logistics Co., Ltd.</w:t>
      </w:r>
    </w:p>
    <w:p>
      <w:pPr>
        <w:spacing w:line="460" w:lineRule="exact"/>
        <w:ind w:firstLine="480" w:firstLineChars="200"/>
        <w:rPr>
          <w:rFonts w:eastAsia="宋体"/>
          <w:snapToGrid w:val="0"/>
          <w:spacing w:val="0"/>
          <w:sz w:val="24"/>
        </w:rPr>
      </w:pPr>
      <w:r>
        <w:rPr>
          <w:rFonts w:eastAsia="宋体"/>
          <w:snapToGrid w:val="0"/>
          <w:spacing w:val="0"/>
          <w:sz w:val="24"/>
        </w:rPr>
        <w:t>公司住所：</w:t>
      </w:r>
      <w:r>
        <w:rPr>
          <w:rFonts w:hint="eastAsia" w:eastAsia="宋体"/>
          <w:snapToGrid w:val="0"/>
          <w:spacing w:val="0"/>
          <w:sz w:val="24"/>
        </w:rPr>
        <w:t>东莞市沙田镇立沙岛淡水河口南岸三江公司行政楼三楼</w:t>
      </w:r>
    </w:p>
    <w:p>
      <w:pPr>
        <w:tabs>
          <w:tab w:val="center" w:pos="4153"/>
        </w:tabs>
        <w:spacing w:line="460" w:lineRule="exact"/>
        <w:ind w:firstLine="480" w:firstLineChars="200"/>
        <w:rPr>
          <w:rFonts w:eastAsia="宋体"/>
          <w:snapToGrid w:val="0"/>
          <w:spacing w:val="0"/>
          <w:sz w:val="24"/>
        </w:rPr>
      </w:pPr>
      <w:r>
        <w:rPr>
          <w:rFonts w:eastAsia="宋体"/>
          <w:snapToGrid w:val="0"/>
          <w:spacing w:val="0"/>
          <w:sz w:val="24"/>
        </w:rPr>
        <w:t>邮政编码：</w:t>
      </w:r>
      <w:r>
        <w:rPr>
          <w:rFonts w:hint="eastAsia" w:eastAsia="宋体"/>
          <w:snapToGrid w:val="0"/>
          <w:color w:val="000000"/>
          <w:spacing w:val="0"/>
          <w:sz w:val="24"/>
        </w:rPr>
        <w:t>523987</w:t>
      </w:r>
      <w:r>
        <w:rPr>
          <w:rFonts w:hint="eastAsia" w:eastAsia="宋体"/>
          <w:snapToGrid w:val="0"/>
          <w:spacing w:val="0"/>
          <w:sz w:val="24"/>
        </w:rPr>
        <w:tab/>
      </w:r>
    </w:p>
    <w:p>
      <w:pPr>
        <w:numPr>
          <w:ilvl w:val="0"/>
          <w:numId w:val="8"/>
        </w:numPr>
        <w:spacing w:line="460" w:lineRule="exact"/>
        <w:ind w:left="-16" w:firstLine="442"/>
        <w:rPr>
          <w:rFonts w:eastAsia="宋体" w:cs="宋体"/>
          <w:spacing w:val="0"/>
          <w:sz w:val="24"/>
        </w:rPr>
      </w:pPr>
      <w:r>
        <w:rPr>
          <w:rFonts w:eastAsia="宋体"/>
          <w:snapToGrid w:val="0"/>
          <w:spacing w:val="0"/>
          <w:sz w:val="24"/>
        </w:rPr>
        <w:t>公司注册资本为人民币</w:t>
      </w:r>
      <w:r>
        <w:rPr>
          <w:rFonts w:hint="eastAsia" w:eastAsia="宋体"/>
          <w:snapToGrid w:val="0"/>
          <w:spacing w:val="0"/>
          <w:sz w:val="24"/>
        </w:rPr>
        <w:t>341,317,508元</w:t>
      </w:r>
      <w:r>
        <w:rPr>
          <w:rFonts w:eastAsia="宋体"/>
          <w:snapToGrid w:val="0"/>
          <w:spacing w:val="0"/>
          <w:sz w:val="24"/>
        </w:rPr>
        <w:t>。</w:t>
      </w:r>
    </w:p>
    <w:p>
      <w:pPr>
        <w:numPr>
          <w:ilvl w:val="0"/>
          <w:numId w:val="8"/>
        </w:numPr>
        <w:spacing w:line="460" w:lineRule="exact"/>
        <w:ind w:left="-16" w:firstLine="442"/>
        <w:rPr>
          <w:rFonts w:eastAsia="宋体" w:cs="宋体"/>
          <w:spacing w:val="0"/>
          <w:sz w:val="24"/>
        </w:rPr>
      </w:pPr>
      <w:r>
        <w:rPr>
          <w:rFonts w:eastAsia="宋体" w:cs="宋体"/>
          <w:spacing w:val="0"/>
          <w:sz w:val="24"/>
        </w:rPr>
        <w:t>公司为永久存续的股份有限公司。</w:t>
      </w:r>
    </w:p>
    <w:p>
      <w:pPr>
        <w:numPr>
          <w:ilvl w:val="0"/>
          <w:numId w:val="8"/>
        </w:numPr>
        <w:spacing w:line="460" w:lineRule="exact"/>
        <w:ind w:left="-16" w:firstLine="442"/>
        <w:rPr>
          <w:rFonts w:eastAsia="宋体" w:cs="宋体"/>
          <w:spacing w:val="0"/>
          <w:sz w:val="24"/>
        </w:rPr>
      </w:pPr>
      <w:r>
        <w:rPr>
          <w:rFonts w:hint="eastAsia" w:eastAsia="宋体" w:cs="宋体"/>
          <w:spacing w:val="0"/>
          <w:sz w:val="24"/>
        </w:rPr>
        <w:t>公司的法定代表人由</w:t>
      </w:r>
      <w:r>
        <w:rPr>
          <w:rFonts w:eastAsia="宋体" w:cs="宋体"/>
          <w:spacing w:val="0"/>
          <w:sz w:val="24"/>
        </w:rPr>
        <w:t>董事长</w:t>
      </w:r>
      <w:r>
        <w:rPr>
          <w:rFonts w:hint="eastAsia" w:eastAsia="宋体" w:cs="宋体"/>
          <w:spacing w:val="0"/>
          <w:sz w:val="24"/>
        </w:rPr>
        <w:t>担任</w:t>
      </w:r>
      <w:r>
        <w:rPr>
          <w:rFonts w:eastAsia="宋体" w:cs="宋体"/>
          <w:spacing w:val="0"/>
          <w:sz w:val="24"/>
        </w:rPr>
        <w:t>。</w:t>
      </w:r>
    </w:p>
    <w:p>
      <w:pPr>
        <w:numPr>
          <w:ilvl w:val="0"/>
          <w:numId w:val="8"/>
        </w:numPr>
        <w:spacing w:line="460" w:lineRule="exact"/>
        <w:ind w:left="-16" w:firstLine="442"/>
        <w:rPr>
          <w:rFonts w:eastAsia="宋体" w:cs="宋体"/>
          <w:spacing w:val="0"/>
          <w:sz w:val="24"/>
        </w:rPr>
      </w:pPr>
      <w:r>
        <w:rPr>
          <w:rFonts w:eastAsia="宋体" w:cs="宋体"/>
          <w:spacing w:val="0"/>
          <w:sz w:val="24"/>
        </w:rPr>
        <w:t>公司全部资产分为等额股份，股东以其认购的股份为限对公司承担责任，公司以其全部资产对公司的债务承担责任。</w:t>
      </w:r>
    </w:p>
    <w:p>
      <w:pPr>
        <w:numPr>
          <w:ilvl w:val="0"/>
          <w:numId w:val="8"/>
        </w:numPr>
        <w:spacing w:line="460" w:lineRule="exact"/>
        <w:ind w:left="-16" w:firstLine="442"/>
        <w:rPr>
          <w:rFonts w:eastAsia="宋体" w:cs="宋体"/>
          <w:spacing w:val="0"/>
          <w:sz w:val="24"/>
        </w:rPr>
      </w:pPr>
      <w:r>
        <w:rPr>
          <w:rFonts w:eastAsia="宋体" w:cs="宋体"/>
          <w:spacing w:val="0"/>
          <w:sz w:val="24"/>
        </w:rPr>
        <w:t>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w:t>
      </w:r>
      <w:r>
        <w:rPr>
          <w:rFonts w:hint="eastAsia" w:eastAsia="宋体" w:cs="宋体"/>
          <w:spacing w:val="0"/>
          <w:sz w:val="24"/>
        </w:rPr>
        <w:t>总经理</w:t>
      </w:r>
      <w:r>
        <w:rPr>
          <w:rFonts w:eastAsia="宋体" w:cs="宋体"/>
          <w:spacing w:val="0"/>
          <w:sz w:val="24"/>
        </w:rPr>
        <w:t>和其他高级管理人员，股东可以起诉公司，公司可以起诉股东、董事、监事、</w:t>
      </w:r>
      <w:r>
        <w:rPr>
          <w:rFonts w:hint="eastAsia" w:eastAsia="宋体" w:cs="宋体"/>
          <w:spacing w:val="0"/>
          <w:sz w:val="24"/>
        </w:rPr>
        <w:t>总经理</w:t>
      </w:r>
      <w:r>
        <w:rPr>
          <w:rFonts w:eastAsia="宋体" w:cs="宋体"/>
          <w:spacing w:val="0"/>
          <w:sz w:val="24"/>
        </w:rPr>
        <w:t>和其他高级管理人员。</w:t>
      </w:r>
    </w:p>
    <w:p>
      <w:pPr>
        <w:numPr>
          <w:ilvl w:val="0"/>
          <w:numId w:val="8"/>
        </w:numPr>
        <w:spacing w:line="460" w:lineRule="exact"/>
        <w:ind w:left="-16" w:firstLine="442"/>
        <w:jc w:val="left"/>
        <w:rPr>
          <w:rFonts w:eastAsia="宋体" w:cs="宋体"/>
          <w:snapToGrid/>
          <w:spacing w:val="0"/>
          <w:sz w:val="24"/>
        </w:rPr>
      </w:pPr>
      <w:r>
        <w:rPr>
          <w:rFonts w:eastAsia="宋体" w:cs="宋体"/>
          <w:spacing w:val="0"/>
          <w:sz w:val="24"/>
        </w:rPr>
        <w:t>本章程所称其他高级管理人员是指公司的</w:t>
      </w:r>
      <w:r>
        <w:rPr>
          <w:rFonts w:hint="eastAsia" w:eastAsia="宋体" w:cs="宋体"/>
          <w:spacing w:val="0"/>
          <w:sz w:val="24"/>
        </w:rPr>
        <w:t>高级</w:t>
      </w:r>
      <w:r>
        <w:rPr>
          <w:rFonts w:eastAsia="宋体" w:cs="宋体"/>
          <w:spacing w:val="0"/>
          <w:sz w:val="24"/>
        </w:rPr>
        <w:t>副</w:t>
      </w:r>
      <w:r>
        <w:rPr>
          <w:rFonts w:hint="eastAsia" w:eastAsia="宋体" w:cs="宋体"/>
          <w:spacing w:val="0"/>
          <w:sz w:val="24"/>
        </w:rPr>
        <w:t>总经理</w:t>
      </w:r>
      <w:r>
        <w:rPr>
          <w:rFonts w:eastAsia="宋体" w:cs="宋体"/>
          <w:spacing w:val="0"/>
          <w:sz w:val="24"/>
        </w:rPr>
        <w:t>、副</w:t>
      </w:r>
      <w:r>
        <w:rPr>
          <w:rFonts w:hint="eastAsia" w:eastAsia="宋体" w:cs="宋体"/>
          <w:spacing w:val="0"/>
          <w:sz w:val="24"/>
        </w:rPr>
        <w:t>总经理、</w:t>
      </w:r>
      <w:r>
        <w:rPr>
          <w:rFonts w:eastAsia="宋体" w:cs="宋体"/>
          <w:spacing w:val="0"/>
          <w:sz w:val="24"/>
        </w:rPr>
        <w:t>董事会秘书、</w:t>
      </w:r>
      <w:r>
        <w:rPr>
          <w:rFonts w:hint="eastAsia" w:eastAsia="宋体" w:cs="宋体"/>
          <w:spacing w:val="0"/>
          <w:sz w:val="24"/>
        </w:rPr>
        <w:t>财务负责人</w:t>
      </w:r>
      <w:r>
        <w:rPr>
          <w:rFonts w:eastAsia="宋体" w:cs="宋体"/>
          <w:spacing w:val="0"/>
          <w:sz w:val="24"/>
        </w:rPr>
        <w:t>。</w:t>
      </w:r>
    </w:p>
    <w:p>
      <w:pPr>
        <w:pStyle w:val="2"/>
        <w:tabs>
          <w:tab w:val="left" w:pos="1050"/>
          <w:tab w:val="clear" w:pos="4684"/>
        </w:tabs>
        <w:spacing w:before="120" w:after="0" w:line="460" w:lineRule="exact"/>
        <w:ind w:left="0" w:firstLine="0"/>
        <w:rPr>
          <w:rFonts w:eastAsia="宋体"/>
          <w:b/>
          <w:spacing w:val="0"/>
          <w:kern w:val="0"/>
          <w:sz w:val="30"/>
          <w:szCs w:val="30"/>
        </w:rPr>
      </w:pPr>
      <w:bookmarkStart w:id="7" w:name="_Toc203475052"/>
      <w:r>
        <w:rPr>
          <w:rFonts w:hint="eastAsia" w:eastAsia="宋体"/>
          <w:b/>
          <w:spacing w:val="0"/>
          <w:kern w:val="0"/>
          <w:sz w:val="30"/>
          <w:szCs w:val="30"/>
        </w:rPr>
        <w:t xml:space="preserve"> </w:t>
      </w:r>
      <w:bookmarkStart w:id="8" w:name="_Toc422141917"/>
      <w:bookmarkStart w:id="9" w:name="_Toc16162"/>
      <w:bookmarkStart w:id="10" w:name="_Toc26706"/>
      <w:bookmarkStart w:id="11" w:name="_Toc448"/>
      <w:bookmarkStart w:id="12" w:name="_Toc511054549"/>
      <w:bookmarkStart w:id="13" w:name="_Toc14196"/>
      <w:r>
        <w:rPr>
          <w:rFonts w:eastAsia="宋体"/>
          <w:b/>
          <w:spacing w:val="0"/>
          <w:kern w:val="0"/>
          <w:sz w:val="30"/>
          <w:szCs w:val="30"/>
        </w:rPr>
        <w:t>经营宗旨和范围</w:t>
      </w:r>
      <w:bookmarkEnd w:id="7"/>
      <w:bookmarkEnd w:id="8"/>
      <w:bookmarkEnd w:id="9"/>
      <w:bookmarkEnd w:id="10"/>
      <w:bookmarkEnd w:id="11"/>
      <w:bookmarkEnd w:id="12"/>
      <w:bookmarkEnd w:id="13"/>
    </w:p>
    <w:p>
      <w:pPr>
        <w:numPr>
          <w:ilvl w:val="0"/>
          <w:numId w:val="8"/>
        </w:numPr>
        <w:tabs>
          <w:tab w:val="left" w:pos="1840"/>
          <w:tab w:val="clear" w:pos="1605"/>
        </w:tabs>
        <w:spacing w:line="460" w:lineRule="exact"/>
        <w:ind w:left="-16" w:firstLine="442"/>
        <w:rPr>
          <w:rFonts w:eastAsia="宋体" w:cs="宋体"/>
          <w:snapToGrid/>
          <w:spacing w:val="0"/>
          <w:sz w:val="24"/>
        </w:rPr>
      </w:pPr>
      <w:r>
        <w:rPr>
          <w:rFonts w:eastAsia="宋体" w:cs="宋体"/>
          <w:snapToGrid/>
          <w:spacing w:val="0"/>
          <w:sz w:val="24"/>
        </w:rPr>
        <w:t>公</w:t>
      </w:r>
      <w:r>
        <w:rPr>
          <w:rFonts w:eastAsia="宋体" w:cs="宋体"/>
          <w:spacing w:val="0"/>
          <w:sz w:val="24"/>
        </w:rPr>
        <w:t>司的经营宗旨：</w:t>
      </w:r>
      <w:r>
        <w:rPr>
          <w:rFonts w:hint="eastAsia" w:eastAsia="宋体" w:cs="宋体"/>
          <w:spacing w:val="0"/>
          <w:sz w:val="24"/>
        </w:rPr>
        <w:t>为员工搭建发展平台；为客户提供优质服务；为社会创造综合价值；为股东获取丰厚回报。</w:t>
      </w:r>
    </w:p>
    <w:p>
      <w:pPr>
        <w:numPr>
          <w:ilvl w:val="0"/>
          <w:numId w:val="8"/>
        </w:numPr>
        <w:tabs>
          <w:tab w:val="left" w:pos="1840"/>
          <w:tab w:val="clear" w:pos="1605"/>
        </w:tabs>
        <w:spacing w:line="460" w:lineRule="exact"/>
        <w:ind w:left="-16" w:firstLine="442"/>
        <w:jc w:val="left"/>
        <w:rPr>
          <w:rFonts w:eastAsia="宋体" w:cs="宋体"/>
          <w:b w:val="0"/>
          <w:bCs w:val="0"/>
          <w:snapToGrid/>
          <w:spacing w:val="0"/>
          <w:sz w:val="24"/>
          <w:szCs w:val="24"/>
        </w:rPr>
      </w:pPr>
      <w:r>
        <w:rPr>
          <w:rFonts w:eastAsia="宋体" w:cs="宋体"/>
          <w:spacing w:val="0"/>
          <w:sz w:val="24"/>
        </w:rPr>
        <w:t xml:space="preserve">经依法登记，公司的经营范围： </w:t>
      </w:r>
      <w:r>
        <w:rPr>
          <w:rFonts w:hint="eastAsia" w:eastAsia="宋体" w:cs="宋体"/>
          <w:spacing w:val="0"/>
          <w:sz w:val="24"/>
        </w:rPr>
        <w:t>物流项目投资；物流链管理；码头、仓储的建设及运营；海上国际货运代理、陆路国际货运代理、国内货运代理，仓储代理；物流管理咨询，企业管理咨询，投资管理咨询。（依法须经批准的项目，经相关部门批准后方可开展经营活动）。</w:t>
      </w:r>
    </w:p>
    <w:p>
      <w:pPr>
        <w:pStyle w:val="2"/>
        <w:tabs>
          <w:tab w:val="left" w:pos="1050"/>
          <w:tab w:val="clear" w:pos="4684"/>
        </w:tabs>
        <w:spacing w:before="120" w:after="0" w:line="460" w:lineRule="exact"/>
        <w:jc w:val="left"/>
        <w:rPr>
          <w:rFonts w:eastAsia="宋体"/>
          <w:b/>
          <w:spacing w:val="0"/>
          <w:kern w:val="0"/>
          <w:sz w:val="30"/>
          <w:szCs w:val="30"/>
        </w:rPr>
      </w:pPr>
      <w:bookmarkStart w:id="14" w:name="_Toc14910"/>
      <w:r>
        <w:rPr>
          <w:rFonts w:hint="eastAsia" w:eastAsia="宋体"/>
          <w:b/>
          <w:spacing w:val="0"/>
          <w:kern w:val="0"/>
          <w:sz w:val="30"/>
          <w:szCs w:val="30"/>
        </w:rPr>
        <w:t xml:space="preserve">  </w:t>
      </w:r>
      <w:bookmarkStart w:id="15" w:name="_Toc6438"/>
      <w:bookmarkStart w:id="16" w:name="_Toc24037"/>
      <w:bookmarkStart w:id="17" w:name="_Toc511054550"/>
      <w:bookmarkStart w:id="18" w:name="_Toc25298"/>
      <w:r>
        <w:rPr>
          <w:rFonts w:hint="eastAsia" w:eastAsia="宋体"/>
          <w:b/>
          <w:spacing w:val="0"/>
          <w:kern w:val="0"/>
          <w:sz w:val="30"/>
          <w:szCs w:val="30"/>
        </w:rPr>
        <w:t>股份</w:t>
      </w:r>
      <w:bookmarkEnd w:id="14"/>
      <w:bookmarkEnd w:id="15"/>
      <w:bookmarkEnd w:id="16"/>
      <w:bookmarkEnd w:id="17"/>
      <w:bookmarkEnd w:id="18"/>
    </w:p>
    <w:p>
      <w:pPr>
        <w:pStyle w:val="3"/>
        <w:spacing w:before="120" w:after="0" w:line="460" w:lineRule="exact"/>
        <w:rPr>
          <w:rFonts w:eastAsia="宋体"/>
          <w:b/>
          <w:snapToGrid w:val="0"/>
          <w:spacing w:val="0"/>
          <w:sz w:val="24"/>
          <w:szCs w:val="24"/>
        </w:rPr>
      </w:pPr>
      <w:bookmarkStart w:id="19" w:name="_Toc27831"/>
      <w:bookmarkStart w:id="20" w:name="_Toc511054551"/>
      <w:bookmarkStart w:id="21" w:name="_Toc26814"/>
      <w:bookmarkStart w:id="22" w:name="_Toc422141918"/>
      <w:bookmarkStart w:id="23" w:name="_Toc17280"/>
      <w:bookmarkStart w:id="24" w:name="_Toc19287"/>
      <w:bookmarkStart w:id="25" w:name="_Toc203475054"/>
      <w:r>
        <w:rPr>
          <w:rFonts w:eastAsia="宋体"/>
          <w:b/>
          <w:snapToGrid w:val="0"/>
          <w:spacing w:val="0"/>
          <w:sz w:val="24"/>
          <w:szCs w:val="24"/>
        </w:rPr>
        <w:t>第一节  股份发行</w:t>
      </w:r>
      <w:bookmarkEnd w:id="19"/>
      <w:bookmarkEnd w:id="20"/>
      <w:bookmarkEnd w:id="21"/>
      <w:bookmarkEnd w:id="22"/>
      <w:bookmarkEnd w:id="23"/>
      <w:bookmarkEnd w:id="24"/>
      <w:bookmarkEnd w:id="25"/>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公司的股份采取股票的形式。</w:t>
      </w:r>
    </w:p>
    <w:p>
      <w:pPr>
        <w:numPr>
          <w:ilvl w:val="0"/>
          <w:numId w:val="8"/>
        </w:numPr>
        <w:tabs>
          <w:tab w:val="left" w:pos="1840"/>
          <w:tab w:val="clear" w:pos="1605"/>
        </w:tabs>
        <w:spacing w:line="460" w:lineRule="exact"/>
        <w:ind w:left="-16" w:firstLine="442"/>
        <w:rPr>
          <w:rFonts w:eastAsia="宋体"/>
          <w:snapToGrid w:val="0"/>
          <w:spacing w:val="0"/>
          <w:sz w:val="24"/>
        </w:rPr>
      </w:pPr>
      <w:r>
        <w:rPr>
          <w:rFonts w:hint="eastAsia" w:eastAsia="宋体"/>
          <w:snapToGrid w:val="0"/>
          <w:spacing w:val="0"/>
          <w:sz w:val="24"/>
        </w:rPr>
        <w:t>公司股份的发行，实行公开、公平、公正的原则，同种类的每一股份应当具有同等权利。</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同次发行的同种类股票，每股的发行条件和价格应当相同；任何单位或者个人所认购的股份，每股应当支付相同价额。</w:t>
      </w:r>
    </w:p>
    <w:p>
      <w:pPr>
        <w:numPr>
          <w:ilvl w:val="0"/>
          <w:numId w:val="8"/>
        </w:numPr>
        <w:tabs>
          <w:tab w:val="left" w:pos="1840"/>
          <w:tab w:val="clear" w:pos="1605"/>
        </w:tabs>
        <w:spacing w:line="460" w:lineRule="exact"/>
        <w:ind w:left="-16" w:firstLine="444"/>
        <w:rPr>
          <w:rFonts w:eastAsia="宋体"/>
          <w:snapToGrid w:val="0"/>
          <w:spacing w:val="0"/>
          <w:sz w:val="24"/>
        </w:rPr>
      </w:pPr>
      <w:r>
        <w:rPr>
          <w:rFonts w:eastAsia="宋体"/>
          <w:snapToGrid w:val="0"/>
          <w:spacing w:val="0"/>
          <w:sz w:val="24"/>
        </w:rPr>
        <w:t>公司发行的股票，以人民币标明面值，每股面值为人民币壹元。</w:t>
      </w:r>
    </w:p>
    <w:p>
      <w:pPr>
        <w:numPr>
          <w:ilvl w:val="0"/>
          <w:numId w:val="8"/>
        </w:numPr>
        <w:tabs>
          <w:tab w:val="left" w:pos="1840"/>
          <w:tab w:val="clear" w:pos="1605"/>
        </w:tabs>
        <w:spacing w:line="460" w:lineRule="exact"/>
        <w:rPr>
          <w:rFonts w:eastAsia="宋体"/>
          <w:szCs w:val="25"/>
        </w:rPr>
      </w:pPr>
      <w:r>
        <w:rPr>
          <w:rFonts w:hint="eastAsia" w:eastAsia="宋体"/>
          <w:szCs w:val="25"/>
        </w:rPr>
        <w:t>公司发行的股份，在中国证券登记结算有限责任公司深圳分公司（以下简称“证券登记机构”）集中存管。</w:t>
      </w:r>
    </w:p>
    <w:p>
      <w:pPr>
        <w:numPr>
          <w:ilvl w:val="0"/>
          <w:numId w:val="8"/>
        </w:numPr>
        <w:tabs>
          <w:tab w:val="left" w:pos="1840"/>
          <w:tab w:val="clear" w:pos="1605"/>
        </w:tabs>
        <w:spacing w:line="460" w:lineRule="exact"/>
        <w:ind w:left="-16" w:firstLine="442"/>
        <w:rPr>
          <w:rFonts w:eastAsia="宋体"/>
          <w:szCs w:val="25"/>
        </w:rPr>
      </w:pPr>
      <w:r>
        <w:rPr>
          <w:rFonts w:eastAsia="宋体"/>
          <w:snapToGrid w:val="0"/>
          <w:spacing w:val="0"/>
          <w:sz w:val="24"/>
        </w:rPr>
        <w:t>公司发起人</w:t>
      </w:r>
      <w:r>
        <w:rPr>
          <w:rFonts w:hint="eastAsia" w:eastAsia="宋体"/>
          <w:snapToGrid w:val="0"/>
          <w:spacing w:val="0"/>
          <w:sz w:val="24"/>
        </w:rPr>
        <w:t>、发起人认购的股份数额和</w:t>
      </w:r>
      <w:r>
        <w:rPr>
          <w:rFonts w:eastAsia="宋体"/>
          <w:snapToGrid w:val="0"/>
          <w:spacing w:val="0"/>
          <w:sz w:val="24"/>
        </w:rPr>
        <w:t>出资方式详见下表所列示：</w:t>
      </w:r>
    </w:p>
    <w:tbl>
      <w:tblPr>
        <w:tblStyle w:val="21"/>
        <w:tblW w:w="8780" w:type="dxa"/>
        <w:jc w:val="center"/>
        <w:tblInd w:w="4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4"/>
        <w:gridCol w:w="3836"/>
        <w:gridCol w:w="1464"/>
        <w:gridCol w:w="1724"/>
        <w:gridCol w:w="13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0" w:hRule="atLeast"/>
          <w:jc w:val="center"/>
        </w:trPr>
        <w:tc>
          <w:tcPr>
            <w:tcW w:w="424" w:type="dxa"/>
            <w:tcBorders>
              <w:top w:val="double" w:color="auto" w:sz="4" w:space="0"/>
              <w:bottom w:val="single" w:color="auto" w:sz="6" w:space="0"/>
            </w:tcBorders>
            <w:shd w:val="clear" w:color="auto" w:fill="D9D9D9"/>
            <w:vAlign w:val="center"/>
          </w:tcPr>
          <w:p>
            <w:pPr>
              <w:spacing w:before="0" w:beforeLines="0" w:after="0" w:afterLines="0" w:line="240" w:lineRule="auto"/>
              <w:jc w:val="center"/>
              <w:rPr>
                <w:rFonts w:eastAsia="宋体"/>
                <w:b/>
                <w:snapToGrid w:val="0"/>
                <w:spacing w:val="0"/>
                <w:sz w:val="20"/>
                <w:szCs w:val="20"/>
              </w:rPr>
            </w:pPr>
            <w:r>
              <w:rPr>
                <w:rFonts w:eastAsia="宋体"/>
                <w:b/>
                <w:snapToGrid w:val="0"/>
                <w:spacing w:val="0"/>
                <w:sz w:val="20"/>
                <w:szCs w:val="20"/>
              </w:rPr>
              <w:t>序号</w:t>
            </w:r>
          </w:p>
        </w:tc>
        <w:tc>
          <w:tcPr>
            <w:tcW w:w="3836" w:type="dxa"/>
            <w:tcBorders>
              <w:top w:val="double" w:color="auto" w:sz="4" w:space="0"/>
              <w:bottom w:val="single" w:color="auto" w:sz="6" w:space="0"/>
            </w:tcBorders>
            <w:shd w:val="clear" w:color="auto" w:fill="D9D9D9"/>
            <w:vAlign w:val="center"/>
          </w:tcPr>
          <w:p>
            <w:pPr>
              <w:spacing w:before="0" w:beforeLines="0" w:after="0" w:afterLines="0" w:line="240" w:lineRule="auto"/>
              <w:jc w:val="center"/>
              <w:rPr>
                <w:rFonts w:eastAsia="宋体"/>
                <w:b/>
                <w:snapToGrid w:val="0"/>
                <w:spacing w:val="0"/>
                <w:sz w:val="20"/>
                <w:szCs w:val="20"/>
              </w:rPr>
            </w:pPr>
            <w:r>
              <w:rPr>
                <w:rFonts w:eastAsia="宋体"/>
                <w:b/>
                <w:snapToGrid w:val="0"/>
                <w:spacing w:val="0"/>
                <w:sz w:val="20"/>
                <w:szCs w:val="20"/>
              </w:rPr>
              <w:t>发起人</w:t>
            </w:r>
            <w:r>
              <w:rPr>
                <w:rFonts w:hint="eastAsia" w:eastAsia="宋体"/>
                <w:b/>
                <w:snapToGrid w:val="0"/>
                <w:spacing w:val="0"/>
                <w:sz w:val="20"/>
                <w:szCs w:val="20"/>
              </w:rPr>
              <w:t>姓名（名称）</w:t>
            </w:r>
          </w:p>
        </w:tc>
        <w:tc>
          <w:tcPr>
            <w:tcW w:w="1464" w:type="dxa"/>
            <w:tcBorders>
              <w:top w:val="double" w:color="auto" w:sz="4" w:space="0"/>
              <w:bottom w:val="single" w:color="auto" w:sz="6" w:space="0"/>
              <w:right w:val="single" w:color="auto" w:sz="4" w:space="0"/>
            </w:tcBorders>
            <w:shd w:val="clear" w:color="auto" w:fill="D9D9D9"/>
            <w:vAlign w:val="center"/>
          </w:tcPr>
          <w:p>
            <w:pPr>
              <w:spacing w:before="0" w:beforeLines="0" w:after="0" w:afterLines="0" w:line="240" w:lineRule="auto"/>
              <w:jc w:val="center"/>
              <w:rPr>
                <w:rFonts w:eastAsia="宋体"/>
                <w:b/>
                <w:snapToGrid w:val="0"/>
                <w:spacing w:val="0"/>
                <w:sz w:val="20"/>
                <w:szCs w:val="20"/>
              </w:rPr>
            </w:pPr>
            <w:r>
              <w:rPr>
                <w:rFonts w:hint="eastAsia" w:eastAsia="宋体"/>
                <w:b/>
                <w:snapToGrid w:val="0"/>
                <w:spacing w:val="0"/>
                <w:sz w:val="20"/>
                <w:szCs w:val="20"/>
              </w:rPr>
              <w:t>持有</w:t>
            </w:r>
            <w:r>
              <w:rPr>
                <w:rFonts w:eastAsia="宋体"/>
                <w:b/>
                <w:snapToGrid w:val="0"/>
                <w:spacing w:val="0"/>
                <w:sz w:val="20"/>
                <w:szCs w:val="20"/>
              </w:rPr>
              <w:t>股份数额</w:t>
            </w:r>
          </w:p>
          <w:p>
            <w:pPr>
              <w:spacing w:before="0" w:beforeLines="0" w:after="0" w:afterLines="0" w:line="240" w:lineRule="auto"/>
              <w:jc w:val="center"/>
              <w:rPr>
                <w:rFonts w:eastAsia="宋体"/>
                <w:b/>
                <w:snapToGrid w:val="0"/>
                <w:spacing w:val="0"/>
                <w:sz w:val="20"/>
                <w:szCs w:val="20"/>
              </w:rPr>
            </w:pPr>
            <w:r>
              <w:rPr>
                <w:rFonts w:hint="eastAsia" w:eastAsia="宋体"/>
                <w:b/>
                <w:snapToGrid w:val="0"/>
                <w:spacing w:val="0"/>
                <w:sz w:val="20"/>
                <w:szCs w:val="20"/>
              </w:rPr>
              <w:t>（万股）</w:t>
            </w:r>
          </w:p>
        </w:tc>
        <w:tc>
          <w:tcPr>
            <w:tcW w:w="1724" w:type="dxa"/>
            <w:tcBorders>
              <w:top w:val="double" w:color="auto" w:sz="4" w:space="0"/>
              <w:left w:val="single" w:color="auto" w:sz="4" w:space="0"/>
              <w:bottom w:val="single" w:color="auto" w:sz="6" w:space="0"/>
            </w:tcBorders>
            <w:shd w:val="clear" w:color="auto" w:fill="D9D9D9"/>
            <w:vAlign w:val="center"/>
          </w:tcPr>
          <w:p>
            <w:pPr>
              <w:spacing w:before="0" w:beforeLines="0" w:after="0" w:afterLines="0" w:line="240" w:lineRule="auto"/>
              <w:jc w:val="center"/>
              <w:rPr>
                <w:rFonts w:eastAsia="宋体"/>
                <w:b/>
                <w:snapToGrid w:val="0"/>
                <w:spacing w:val="0"/>
                <w:sz w:val="20"/>
                <w:szCs w:val="20"/>
              </w:rPr>
            </w:pPr>
            <w:r>
              <w:rPr>
                <w:rFonts w:hint="eastAsia" w:eastAsia="宋体"/>
                <w:b/>
                <w:snapToGrid w:val="0"/>
                <w:spacing w:val="0"/>
                <w:sz w:val="20"/>
                <w:szCs w:val="20"/>
              </w:rPr>
              <w:t>出资时间</w:t>
            </w:r>
          </w:p>
        </w:tc>
        <w:tc>
          <w:tcPr>
            <w:tcW w:w="1332" w:type="dxa"/>
            <w:tcBorders>
              <w:top w:val="double" w:color="auto" w:sz="4" w:space="0"/>
              <w:bottom w:val="single" w:color="auto" w:sz="6" w:space="0"/>
            </w:tcBorders>
            <w:shd w:val="clear" w:color="auto" w:fill="D9D9D9"/>
            <w:vAlign w:val="center"/>
          </w:tcPr>
          <w:p>
            <w:pPr>
              <w:spacing w:before="0" w:beforeLines="0" w:after="0" w:afterLines="0" w:line="240" w:lineRule="auto"/>
              <w:jc w:val="center"/>
              <w:rPr>
                <w:rFonts w:eastAsia="宋体"/>
                <w:b/>
                <w:snapToGrid w:val="0"/>
                <w:spacing w:val="0"/>
                <w:sz w:val="20"/>
                <w:szCs w:val="20"/>
              </w:rPr>
            </w:pPr>
            <w:r>
              <w:rPr>
                <w:rFonts w:hint="eastAsia" w:eastAsia="宋体"/>
                <w:b/>
                <w:snapToGrid w:val="0"/>
                <w:spacing w:val="0"/>
                <w:sz w:val="20"/>
                <w:szCs w:val="20"/>
              </w:rPr>
              <w:t>出资方式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 w:hRule="atLeast"/>
          <w:jc w:val="center"/>
        </w:trPr>
        <w:tc>
          <w:tcPr>
            <w:tcW w:w="424" w:type="dxa"/>
            <w:tcBorders>
              <w:top w:val="single" w:color="auto" w:sz="6" w:space="0"/>
            </w:tcBorders>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eastAsia="宋体"/>
                <w:snapToGrid w:val="0"/>
                <w:spacing w:val="0"/>
                <w:sz w:val="20"/>
                <w:szCs w:val="20"/>
              </w:rPr>
              <w:t>1</w:t>
            </w:r>
          </w:p>
        </w:tc>
        <w:tc>
          <w:tcPr>
            <w:tcW w:w="3836"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both"/>
              <w:textAlignment w:val="auto"/>
              <w:rPr>
                <w:rFonts w:eastAsia="宋体"/>
                <w:snapToGrid w:val="0"/>
                <w:spacing w:val="0"/>
                <w:sz w:val="20"/>
                <w:szCs w:val="20"/>
              </w:rPr>
            </w:pPr>
            <w:r>
              <w:rPr>
                <w:rFonts w:hint="eastAsia" w:eastAsia="宋体"/>
                <w:snapToGrid w:val="0"/>
                <w:spacing w:val="0"/>
                <w:sz w:val="20"/>
                <w:szCs w:val="20"/>
              </w:rPr>
              <w:t>林海川</w:t>
            </w:r>
          </w:p>
        </w:tc>
        <w:tc>
          <w:tcPr>
            <w:tcW w:w="1464" w:type="dxa"/>
            <w:tcBorders>
              <w:top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1,000</w:t>
            </w:r>
          </w:p>
        </w:tc>
        <w:tc>
          <w:tcPr>
            <w:tcW w:w="1724" w:type="dxa"/>
            <w:tcBorders>
              <w:top w:val="single" w:color="auto" w:sz="6"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2015年7月23日</w:t>
            </w:r>
          </w:p>
        </w:tc>
        <w:tc>
          <w:tcPr>
            <w:tcW w:w="1332"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hint="eastAsia" w:eastAsia="宋体"/>
                <w:snapToGrid w:val="0"/>
                <w:spacing w:val="0"/>
                <w:sz w:val="20"/>
                <w:szCs w:val="20"/>
              </w:rPr>
            </w:pPr>
            <w:r>
              <w:rPr>
                <w:rFonts w:hint="eastAsia" w:eastAsia="宋体"/>
                <w:snapToGrid w:val="0"/>
                <w:spacing w:val="0"/>
                <w:sz w:val="20"/>
                <w:szCs w:val="20"/>
              </w:rPr>
              <w:t>净资产折股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424" w:type="dxa"/>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2</w:t>
            </w:r>
          </w:p>
        </w:tc>
        <w:tc>
          <w:tcPr>
            <w:tcW w:w="3836" w:type="dxa"/>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both"/>
              <w:textAlignment w:val="auto"/>
              <w:rPr>
                <w:rFonts w:eastAsia="宋体"/>
                <w:snapToGrid w:val="0"/>
                <w:spacing w:val="0"/>
                <w:sz w:val="20"/>
                <w:szCs w:val="20"/>
              </w:rPr>
            </w:pPr>
            <w:r>
              <w:rPr>
                <w:rFonts w:hint="eastAsia" w:eastAsia="宋体"/>
                <w:snapToGrid w:val="0"/>
                <w:spacing w:val="0"/>
                <w:sz w:val="20"/>
                <w:szCs w:val="20"/>
              </w:rPr>
              <w:t>广东宏川集团有限公司</w:t>
            </w:r>
          </w:p>
        </w:tc>
        <w:tc>
          <w:tcPr>
            <w:tcW w:w="146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7,920</w:t>
            </w:r>
          </w:p>
        </w:tc>
        <w:tc>
          <w:tcPr>
            <w:tcW w:w="172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2015年7月23日</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hint="eastAsia" w:eastAsia="宋体"/>
                <w:snapToGrid w:val="0"/>
                <w:spacing w:val="0"/>
                <w:sz w:val="20"/>
                <w:szCs w:val="20"/>
              </w:rPr>
            </w:pPr>
            <w:r>
              <w:rPr>
                <w:rFonts w:hint="eastAsia" w:eastAsia="宋体"/>
                <w:snapToGrid w:val="0"/>
                <w:spacing w:val="0"/>
                <w:sz w:val="20"/>
                <w:szCs w:val="20"/>
              </w:rPr>
              <w:t>净资产折股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 w:hRule="atLeast"/>
          <w:jc w:val="center"/>
        </w:trPr>
        <w:tc>
          <w:tcPr>
            <w:tcW w:w="424" w:type="dxa"/>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3</w:t>
            </w:r>
          </w:p>
        </w:tc>
        <w:tc>
          <w:tcPr>
            <w:tcW w:w="3836" w:type="dxa"/>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both"/>
              <w:textAlignment w:val="auto"/>
              <w:rPr>
                <w:rFonts w:eastAsia="宋体"/>
                <w:snapToGrid w:val="0"/>
                <w:spacing w:val="0"/>
                <w:sz w:val="20"/>
                <w:szCs w:val="20"/>
              </w:rPr>
            </w:pPr>
            <w:r>
              <w:rPr>
                <w:rFonts w:hint="eastAsia" w:eastAsia="宋体"/>
                <w:snapToGrid w:val="0"/>
                <w:spacing w:val="0"/>
                <w:sz w:val="20"/>
                <w:szCs w:val="20"/>
              </w:rPr>
              <w:t>东莞市宏川化工供应链有限公司</w:t>
            </w:r>
          </w:p>
        </w:tc>
        <w:tc>
          <w:tcPr>
            <w:tcW w:w="146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3,500</w:t>
            </w:r>
          </w:p>
        </w:tc>
        <w:tc>
          <w:tcPr>
            <w:tcW w:w="172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2015年7月23日</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hint="eastAsia" w:eastAsia="宋体"/>
                <w:snapToGrid w:val="0"/>
                <w:spacing w:val="0"/>
                <w:sz w:val="20"/>
                <w:szCs w:val="20"/>
              </w:rPr>
            </w:pPr>
            <w:r>
              <w:rPr>
                <w:rFonts w:hint="eastAsia" w:eastAsia="宋体"/>
                <w:snapToGrid w:val="0"/>
                <w:spacing w:val="0"/>
                <w:sz w:val="20"/>
                <w:szCs w:val="20"/>
              </w:rPr>
              <w:t>净资产折股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1" w:hRule="atLeast"/>
          <w:jc w:val="center"/>
        </w:trPr>
        <w:tc>
          <w:tcPr>
            <w:tcW w:w="424" w:type="dxa"/>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4</w:t>
            </w:r>
          </w:p>
        </w:tc>
        <w:tc>
          <w:tcPr>
            <w:tcW w:w="3836" w:type="dxa"/>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both"/>
              <w:textAlignment w:val="auto"/>
              <w:rPr>
                <w:rFonts w:eastAsia="宋体"/>
                <w:snapToGrid w:val="0"/>
                <w:spacing w:val="0"/>
                <w:sz w:val="20"/>
                <w:szCs w:val="20"/>
              </w:rPr>
            </w:pPr>
            <w:r>
              <w:rPr>
                <w:rFonts w:hint="eastAsia" w:eastAsia="宋体"/>
                <w:snapToGrid w:val="0"/>
                <w:spacing w:val="0"/>
                <w:sz w:val="20"/>
                <w:szCs w:val="20"/>
              </w:rPr>
              <w:t>东莞市宏川广达投资管理企业（有限合伙）</w:t>
            </w:r>
          </w:p>
        </w:tc>
        <w:tc>
          <w:tcPr>
            <w:tcW w:w="146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1,080</w:t>
            </w:r>
          </w:p>
        </w:tc>
        <w:tc>
          <w:tcPr>
            <w:tcW w:w="172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2015年7月23日</w:t>
            </w:r>
          </w:p>
        </w:tc>
        <w:tc>
          <w:tcPr>
            <w:tcW w:w="1332" w:type="dxa"/>
            <w:vAlign w:val="top"/>
          </w:tcPr>
          <w:p>
            <w:pPr>
              <w:keepNext w:val="0"/>
              <w:keepLines w:val="0"/>
              <w:pageBreakBefore w:val="0"/>
              <w:widowControl w:val="0"/>
              <w:kinsoku/>
              <w:wordWrap/>
              <w:overflowPunct/>
              <w:topLinePunct w:val="0"/>
              <w:autoSpaceDE/>
              <w:autoSpaceDN/>
              <w:bidi w:val="0"/>
              <w:adjustRightInd/>
              <w:snapToGrid/>
              <w:spacing w:before="0" w:beforeLines="0" w:afterLines="0" w:line="240" w:lineRule="auto"/>
              <w:jc w:val="center"/>
              <w:textAlignment w:val="auto"/>
              <w:rPr>
                <w:rFonts w:hint="eastAsia" w:eastAsia="宋体"/>
                <w:snapToGrid w:val="0"/>
                <w:spacing w:val="0"/>
                <w:sz w:val="20"/>
                <w:szCs w:val="20"/>
              </w:rPr>
            </w:pPr>
            <w:r>
              <w:rPr>
                <w:rFonts w:hint="eastAsia" w:eastAsia="宋体"/>
                <w:snapToGrid w:val="0"/>
                <w:spacing w:val="0"/>
                <w:sz w:val="20"/>
                <w:szCs w:val="20"/>
              </w:rPr>
              <w:t>净资产折股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7" w:hRule="atLeast"/>
          <w:jc w:val="center"/>
        </w:trPr>
        <w:tc>
          <w:tcPr>
            <w:tcW w:w="4260" w:type="dxa"/>
            <w:gridSpan w:val="2"/>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eastAsia="宋体"/>
                <w:snapToGrid w:val="0"/>
                <w:spacing w:val="0"/>
                <w:sz w:val="20"/>
                <w:szCs w:val="20"/>
              </w:rPr>
              <w:t>合  计</w:t>
            </w:r>
          </w:p>
        </w:tc>
        <w:tc>
          <w:tcPr>
            <w:tcW w:w="1464"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13,500</w:t>
            </w:r>
          </w:p>
        </w:tc>
        <w:tc>
          <w:tcPr>
            <w:tcW w:w="1724" w:type="dxa"/>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w:t>
            </w:r>
          </w:p>
        </w:tc>
        <w:tc>
          <w:tcPr>
            <w:tcW w:w="1332" w:type="dxa"/>
          </w:tcPr>
          <w:p>
            <w:pPr>
              <w:keepNext w:val="0"/>
              <w:keepLines w:val="0"/>
              <w:pageBreakBefore w:val="0"/>
              <w:widowControl w:val="0"/>
              <w:kinsoku/>
              <w:wordWrap/>
              <w:overflowPunct/>
              <w:topLinePunct w:val="0"/>
              <w:autoSpaceDE/>
              <w:autoSpaceDN/>
              <w:bidi w:val="0"/>
              <w:spacing w:before="0" w:beforeLines="0" w:afterLines="0" w:line="240" w:lineRule="auto"/>
              <w:jc w:val="center"/>
              <w:textAlignment w:val="auto"/>
              <w:rPr>
                <w:rFonts w:eastAsia="宋体"/>
                <w:snapToGrid w:val="0"/>
                <w:spacing w:val="0"/>
                <w:sz w:val="20"/>
                <w:szCs w:val="20"/>
              </w:rPr>
            </w:pPr>
            <w:r>
              <w:rPr>
                <w:rFonts w:hint="eastAsia" w:eastAsia="宋体"/>
                <w:snapToGrid w:val="0"/>
                <w:spacing w:val="0"/>
                <w:sz w:val="20"/>
                <w:szCs w:val="20"/>
              </w:rPr>
              <w:t>-</w:t>
            </w:r>
          </w:p>
        </w:tc>
      </w:tr>
    </w:tbl>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公司股份总数为</w:t>
      </w:r>
      <w:r>
        <w:rPr>
          <w:rFonts w:hint="default" w:ascii="Times New Roman" w:hAnsi="Times New Roman" w:eastAsia="仿宋" w:cs="Times New Roman"/>
          <w:bCs/>
          <w:snapToGrid w:val="0"/>
          <w:sz w:val="24"/>
        </w:rPr>
        <w:t>341,317,508</w:t>
      </w:r>
      <w:r>
        <w:rPr>
          <w:rFonts w:eastAsia="宋体"/>
          <w:snapToGrid w:val="0"/>
          <w:spacing w:val="0"/>
          <w:sz w:val="24"/>
        </w:rPr>
        <w:t>股，全部为普通股。</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公司或公司的子公司（包括公司的附属企业）不以赠与、垫资、担保、补偿或贷款等形式，对购买或者拟购买公司股份的人提供任何资助。</w:t>
      </w:r>
    </w:p>
    <w:p>
      <w:pPr>
        <w:pStyle w:val="3"/>
        <w:spacing w:before="120" w:after="0" w:line="460" w:lineRule="exact"/>
        <w:rPr>
          <w:rFonts w:eastAsia="宋体"/>
          <w:b/>
          <w:snapToGrid w:val="0"/>
          <w:spacing w:val="0"/>
          <w:sz w:val="24"/>
          <w:szCs w:val="24"/>
        </w:rPr>
      </w:pPr>
      <w:bookmarkStart w:id="26" w:name="_Toc27778"/>
      <w:bookmarkStart w:id="27" w:name="_Toc9999"/>
      <w:bookmarkStart w:id="28" w:name="_Toc14113"/>
      <w:bookmarkStart w:id="29" w:name="_Toc203475055"/>
      <w:bookmarkStart w:id="30" w:name="_Toc511054552"/>
      <w:bookmarkStart w:id="31" w:name="_Toc30511"/>
      <w:bookmarkStart w:id="32" w:name="_Toc422141919"/>
      <w:r>
        <w:rPr>
          <w:rFonts w:eastAsia="宋体"/>
          <w:b/>
          <w:snapToGrid w:val="0"/>
          <w:spacing w:val="0"/>
          <w:sz w:val="24"/>
          <w:szCs w:val="24"/>
        </w:rPr>
        <w:t>第二节  股份增减和回购</w:t>
      </w:r>
      <w:bookmarkEnd w:id="26"/>
      <w:bookmarkEnd w:id="27"/>
      <w:bookmarkEnd w:id="28"/>
      <w:bookmarkEnd w:id="29"/>
      <w:bookmarkEnd w:id="30"/>
      <w:bookmarkEnd w:id="31"/>
      <w:bookmarkEnd w:id="32"/>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公司根据经营和发展的需要，依照法律、法规的规定，经股东大会分别作出决议，可以采用下列方式增加资本：</w:t>
      </w:r>
    </w:p>
    <w:p>
      <w:pPr>
        <w:spacing w:line="460" w:lineRule="exact"/>
        <w:ind w:firstLine="480" w:firstLineChars="200"/>
        <w:rPr>
          <w:rFonts w:eastAsia="宋体"/>
          <w:snapToGrid w:val="0"/>
          <w:spacing w:val="0"/>
          <w:sz w:val="24"/>
        </w:rPr>
      </w:pPr>
      <w:r>
        <w:rPr>
          <w:rFonts w:eastAsia="宋体"/>
          <w:snapToGrid w:val="0"/>
          <w:spacing w:val="0"/>
          <w:sz w:val="24"/>
        </w:rPr>
        <w:t>（一）公开发行股份；</w:t>
      </w:r>
    </w:p>
    <w:p>
      <w:pPr>
        <w:spacing w:line="460" w:lineRule="exact"/>
        <w:ind w:firstLine="480" w:firstLineChars="200"/>
        <w:rPr>
          <w:rFonts w:eastAsia="宋体"/>
          <w:snapToGrid w:val="0"/>
          <w:spacing w:val="0"/>
          <w:sz w:val="24"/>
        </w:rPr>
      </w:pPr>
      <w:r>
        <w:rPr>
          <w:rFonts w:eastAsia="宋体"/>
          <w:snapToGrid w:val="0"/>
          <w:spacing w:val="0"/>
          <w:sz w:val="24"/>
        </w:rPr>
        <w:t>（二）非公开发行股份；</w:t>
      </w:r>
    </w:p>
    <w:p>
      <w:pPr>
        <w:spacing w:line="460" w:lineRule="exact"/>
        <w:ind w:firstLine="480" w:firstLineChars="200"/>
        <w:rPr>
          <w:rFonts w:eastAsia="宋体"/>
          <w:snapToGrid w:val="0"/>
          <w:spacing w:val="0"/>
          <w:sz w:val="24"/>
        </w:rPr>
      </w:pPr>
      <w:r>
        <w:rPr>
          <w:rFonts w:eastAsia="宋体"/>
          <w:snapToGrid w:val="0"/>
          <w:spacing w:val="0"/>
          <w:sz w:val="24"/>
        </w:rPr>
        <w:t>（三）向现有股东派送红股；</w:t>
      </w:r>
    </w:p>
    <w:p>
      <w:pPr>
        <w:spacing w:line="460" w:lineRule="exact"/>
        <w:ind w:firstLine="480" w:firstLineChars="200"/>
        <w:rPr>
          <w:rFonts w:eastAsia="宋体"/>
          <w:snapToGrid w:val="0"/>
          <w:spacing w:val="0"/>
          <w:sz w:val="24"/>
        </w:rPr>
      </w:pPr>
      <w:r>
        <w:rPr>
          <w:rFonts w:eastAsia="宋体"/>
          <w:snapToGrid w:val="0"/>
          <w:spacing w:val="0"/>
          <w:sz w:val="24"/>
        </w:rPr>
        <w:t>（四）以公积金转增股本；</w:t>
      </w:r>
    </w:p>
    <w:p>
      <w:pPr>
        <w:spacing w:line="460" w:lineRule="exact"/>
        <w:ind w:firstLine="480" w:firstLineChars="200"/>
        <w:rPr>
          <w:rFonts w:eastAsia="宋体"/>
          <w:snapToGrid w:val="0"/>
          <w:spacing w:val="0"/>
          <w:sz w:val="24"/>
        </w:rPr>
      </w:pPr>
      <w:r>
        <w:rPr>
          <w:rFonts w:eastAsia="宋体"/>
          <w:snapToGrid w:val="0"/>
          <w:spacing w:val="0"/>
          <w:sz w:val="24"/>
        </w:rPr>
        <w:t>（五）法律、行政法规规定以及</w:t>
      </w:r>
      <w:r>
        <w:rPr>
          <w:rFonts w:hint="eastAsia" w:eastAsia="宋体"/>
          <w:snapToGrid w:val="0"/>
          <w:spacing w:val="0"/>
          <w:sz w:val="24"/>
          <w:lang w:val="en-US" w:eastAsia="zh-CN"/>
        </w:rPr>
        <w:t>中国证监会</w:t>
      </w:r>
      <w:r>
        <w:rPr>
          <w:rFonts w:eastAsia="宋体"/>
          <w:snapToGrid w:val="0"/>
          <w:spacing w:val="0"/>
          <w:sz w:val="24"/>
        </w:rPr>
        <w:t>批准的其他方式。</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公司可以减少注册资本。公司减少注册资本，应当按照《公司法》以及其他有关规定和本章程规定的程序办理。</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公司在下列情况下，可以依照法律、行政法规、部门规章和本章程的规定，收购公司的股份：</w:t>
      </w:r>
    </w:p>
    <w:p>
      <w:pPr>
        <w:spacing w:line="460" w:lineRule="exact"/>
        <w:ind w:firstLine="480" w:firstLineChars="200"/>
        <w:rPr>
          <w:rFonts w:eastAsia="宋体"/>
          <w:snapToGrid w:val="0"/>
          <w:spacing w:val="0"/>
          <w:sz w:val="24"/>
        </w:rPr>
      </w:pPr>
      <w:r>
        <w:rPr>
          <w:rFonts w:eastAsia="宋体"/>
          <w:snapToGrid w:val="0"/>
          <w:spacing w:val="0"/>
          <w:sz w:val="24"/>
        </w:rPr>
        <w:t>（一）减少公司注册资本；</w:t>
      </w:r>
    </w:p>
    <w:p>
      <w:pPr>
        <w:spacing w:line="460" w:lineRule="exact"/>
        <w:ind w:firstLine="480" w:firstLineChars="200"/>
        <w:rPr>
          <w:rFonts w:eastAsia="宋体"/>
          <w:snapToGrid w:val="0"/>
          <w:spacing w:val="0"/>
          <w:sz w:val="24"/>
        </w:rPr>
      </w:pPr>
      <w:r>
        <w:rPr>
          <w:rFonts w:eastAsia="宋体"/>
          <w:snapToGrid w:val="0"/>
          <w:spacing w:val="0"/>
          <w:sz w:val="24"/>
        </w:rPr>
        <w:t>（二）与持有本公司</w:t>
      </w:r>
      <w:r>
        <w:rPr>
          <w:rFonts w:hint="eastAsia" w:eastAsia="宋体"/>
          <w:snapToGrid w:val="0"/>
          <w:spacing w:val="0"/>
          <w:sz w:val="24"/>
        </w:rPr>
        <w:t>股份</w:t>
      </w:r>
      <w:r>
        <w:rPr>
          <w:rFonts w:eastAsia="宋体"/>
          <w:snapToGrid w:val="0"/>
          <w:spacing w:val="0"/>
          <w:sz w:val="24"/>
        </w:rPr>
        <w:t>的其他公司合并；</w:t>
      </w:r>
    </w:p>
    <w:p>
      <w:pPr>
        <w:spacing w:line="460" w:lineRule="exact"/>
        <w:ind w:firstLine="480" w:firstLineChars="200"/>
        <w:rPr>
          <w:rFonts w:eastAsia="宋体"/>
          <w:snapToGrid w:val="0"/>
          <w:spacing w:val="0"/>
          <w:sz w:val="24"/>
        </w:rPr>
      </w:pPr>
      <w:r>
        <w:rPr>
          <w:rFonts w:eastAsia="宋体"/>
          <w:snapToGrid w:val="0"/>
          <w:spacing w:val="0"/>
          <w:sz w:val="24"/>
        </w:rPr>
        <w:t>（三）</w:t>
      </w:r>
      <w:r>
        <w:rPr>
          <w:rFonts w:hint="eastAsia" w:eastAsia="宋体"/>
          <w:snapToGrid w:val="0"/>
          <w:spacing w:val="0"/>
          <w:sz w:val="24"/>
        </w:rPr>
        <w:t>将股份用于员工持股计划或者股权激励；</w:t>
      </w:r>
    </w:p>
    <w:p>
      <w:pPr>
        <w:spacing w:line="460" w:lineRule="exact"/>
        <w:ind w:firstLine="480" w:firstLineChars="200"/>
        <w:rPr>
          <w:rFonts w:eastAsia="宋体"/>
          <w:snapToGrid w:val="0"/>
          <w:spacing w:val="0"/>
          <w:sz w:val="24"/>
        </w:rPr>
      </w:pPr>
      <w:r>
        <w:rPr>
          <w:rFonts w:eastAsia="宋体"/>
          <w:snapToGrid w:val="0"/>
          <w:spacing w:val="0"/>
          <w:sz w:val="24"/>
        </w:rPr>
        <w:t>（四）股东因对股东大会作出的公司合并、分立决议持异议，要求公司收购其股份的</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hint="eastAsia" w:eastAsia="宋体"/>
          <w:snapToGrid w:val="0"/>
          <w:spacing w:val="0"/>
          <w:sz w:val="24"/>
        </w:rPr>
        <w:t xml:space="preserve">（五）将股份用于转换公司发行的可转换为股票的公司债券； </w:t>
      </w:r>
    </w:p>
    <w:p>
      <w:pPr>
        <w:spacing w:line="460" w:lineRule="exact"/>
        <w:ind w:firstLine="480" w:firstLineChars="200"/>
        <w:rPr>
          <w:rFonts w:eastAsia="宋体"/>
          <w:snapToGrid w:val="0"/>
          <w:spacing w:val="0"/>
          <w:sz w:val="24"/>
        </w:rPr>
      </w:pPr>
      <w:r>
        <w:rPr>
          <w:rFonts w:hint="eastAsia" w:eastAsia="宋体"/>
          <w:snapToGrid w:val="0"/>
          <w:spacing w:val="0"/>
          <w:sz w:val="24"/>
        </w:rPr>
        <w:t xml:space="preserve">（六）公司为维护公司价值及股东权益所必需。 </w:t>
      </w:r>
    </w:p>
    <w:p>
      <w:pPr>
        <w:numPr>
          <w:ilvl w:val="-1"/>
          <w:numId w:val="0"/>
        </w:numPr>
        <w:spacing w:line="460" w:lineRule="exact"/>
        <w:ind w:left="0" w:firstLine="480" w:firstLineChars="200"/>
        <w:rPr>
          <w:rFonts w:eastAsia="宋体"/>
          <w:snapToGrid w:val="0"/>
          <w:spacing w:val="0"/>
          <w:sz w:val="24"/>
        </w:rPr>
      </w:pPr>
      <w:r>
        <w:rPr>
          <w:rFonts w:eastAsia="宋体"/>
          <w:snapToGrid w:val="0"/>
          <w:spacing w:val="0"/>
          <w:sz w:val="24"/>
        </w:rPr>
        <w:t>除上述情形外，公司不</w:t>
      </w:r>
      <w:r>
        <w:rPr>
          <w:rFonts w:hint="eastAsia" w:eastAsia="宋体"/>
          <w:snapToGrid w:val="0"/>
          <w:spacing w:val="0"/>
          <w:sz w:val="24"/>
        </w:rPr>
        <w:t>得收购本公司股份</w:t>
      </w:r>
      <w:r>
        <w:rPr>
          <w:rFonts w:eastAsia="宋体"/>
          <w:snapToGrid w:val="0"/>
          <w:spacing w:val="0"/>
          <w:sz w:val="24"/>
        </w:rPr>
        <w:t>。</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公司收购本公司股份，可以通过公开的集中交易方式，或者法律法规和中国证监会认可的其他方式进行。</w:t>
      </w:r>
    </w:p>
    <w:p>
      <w:pPr>
        <w:numPr>
          <w:ilvl w:val="-1"/>
          <w:numId w:val="0"/>
        </w:numPr>
        <w:tabs>
          <w:tab w:val="left" w:pos="2100"/>
        </w:tabs>
        <w:spacing w:line="460" w:lineRule="exact"/>
        <w:ind w:left="0" w:firstLine="480" w:firstLineChars="200"/>
        <w:rPr>
          <w:rFonts w:eastAsia="宋体"/>
          <w:snapToGrid w:val="0"/>
          <w:spacing w:val="0"/>
          <w:sz w:val="24"/>
        </w:rPr>
      </w:pPr>
      <w:r>
        <w:rPr>
          <w:rFonts w:hint="eastAsia" w:eastAsia="宋体"/>
          <w:snapToGrid w:val="0"/>
          <w:spacing w:val="0"/>
          <w:sz w:val="24"/>
        </w:rPr>
        <w:t>公司因本章程第二十三条第一款第（三）项、第（五）项、第（六）项规定的情形收购本公司股份的，应当通过公开的集中交易方式进行。</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公司因本章程第二十三条第一款第（一）项、第（二）项规定的情形收购本公司股份的，应当经股东大会决议；公司因本章程第二十三条第一款第（三）项、第（五）项、第（六）项规定的情形收购本公司股份的，可以依照本章程的规定或者股东大会的授权，经三分之二以上董事出席的董事会会议决议。</w:t>
      </w:r>
    </w:p>
    <w:p>
      <w:pPr>
        <w:spacing w:line="460" w:lineRule="exact"/>
        <w:ind w:firstLine="480" w:firstLineChars="200"/>
        <w:rPr>
          <w:rFonts w:eastAsia="宋体"/>
          <w:snapToGrid w:val="0"/>
          <w:spacing w:val="0"/>
          <w:sz w:val="24"/>
        </w:rPr>
      </w:pPr>
      <w:r>
        <w:rPr>
          <w:rFonts w:hint="eastAsia" w:eastAsia="宋体"/>
          <w:snapToGrid w:val="0"/>
          <w:spacing w:val="0"/>
          <w:sz w:val="24"/>
        </w:rPr>
        <w:t>公司依照本章程第二十三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pStyle w:val="3"/>
        <w:spacing w:before="120" w:after="0" w:line="460" w:lineRule="exact"/>
        <w:rPr>
          <w:rFonts w:eastAsia="宋体"/>
          <w:b/>
          <w:snapToGrid w:val="0"/>
          <w:spacing w:val="0"/>
          <w:sz w:val="24"/>
          <w:szCs w:val="24"/>
        </w:rPr>
      </w:pPr>
      <w:bookmarkStart w:id="33" w:name="_Toc736"/>
      <w:bookmarkStart w:id="34" w:name="_Toc25444"/>
      <w:bookmarkStart w:id="35" w:name="_Toc511054553"/>
      <w:bookmarkStart w:id="36" w:name="_Toc16143"/>
      <w:bookmarkStart w:id="37" w:name="_Toc28698"/>
      <w:bookmarkStart w:id="38" w:name="_Toc422141920"/>
      <w:bookmarkStart w:id="39" w:name="_Toc203475056"/>
      <w:r>
        <w:rPr>
          <w:rFonts w:eastAsia="宋体"/>
          <w:b/>
          <w:snapToGrid w:val="0"/>
          <w:spacing w:val="0"/>
          <w:sz w:val="24"/>
          <w:szCs w:val="24"/>
        </w:rPr>
        <w:t>第三节  股份转让</w:t>
      </w:r>
      <w:bookmarkEnd w:id="33"/>
      <w:bookmarkEnd w:id="34"/>
      <w:bookmarkEnd w:id="35"/>
      <w:bookmarkEnd w:id="36"/>
      <w:bookmarkEnd w:id="37"/>
      <w:bookmarkEnd w:id="38"/>
      <w:bookmarkEnd w:id="39"/>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公司的股份可以依法转让。</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公司不接受本公司的股票作为质押权的标的。</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发起人持有的公司股份，自公司成立之日起一年内不得转让。公司公开发行股份前已发行的股份，自公司股票在证券交易所上市交易之日起一年内不得转让。</w:t>
      </w:r>
    </w:p>
    <w:p>
      <w:pPr>
        <w:spacing w:line="460" w:lineRule="exact"/>
        <w:ind w:firstLine="480" w:firstLineChars="200"/>
        <w:rPr>
          <w:rFonts w:eastAsia="宋体"/>
          <w:snapToGrid w:val="0"/>
          <w:spacing w:val="0"/>
          <w:sz w:val="24"/>
        </w:rPr>
      </w:pPr>
      <w:r>
        <w:rPr>
          <w:rFonts w:eastAsia="宋体"/>
          <w:snapToGrid w:val="0"/>
          <w:spacing w:val="0"/>
          <w:sz w:val="24"/>
        </w:rPr>
        <w:t>公司董事、监事、高级管理人员应当向公司申报所持有的公司的股份及其变动情况，在任职期间每年转让的股份不得超过其所持有公司股份总数的百分之二十五；所持公司股份自公司股票上市交易之日起一年内不得转让。</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公司董事、监事和高级管理人员离职后半年内，不得转让其所持有的本公司股份。在申报离任六个月后的十二</w:t>
      </w:r>
      <w:r>
        <w:rPr>
          <w:rFonts w:hint="eastAsia" w:eastAsia="宋体"/>
          <w:snapToGrid w:val="0"/>
          <w:spacing w:val="0"/>
          <w:sz w:val="24"/>
          <w:lang w:val="en-US" w:eastAsia="zh-CN"/>
        </w:rPr>
        <w:t>个</w:t>
      </w:r>
      <w:r>
        <w:rPr>
          <w:rFonts w:hint="eastAsia" w:eastAsia="宋体"/>
          <w:snapToGrid w:val="0"/>
          <w:spacing w:val="0"/>
          <w:sz w:val="24"/>
        </w:rPr>
        <w:t>月内通过证券交易所挂牌交易出售公司股票数量占其所持有公司股票总数的比例不得超过百分之五十。</w:t>
      </w:r>
    </w:p>
    <w:p>
      <w:pPr>
        <w:spacing w:line="460" w:lineRule="exact"/>
        <w:ind w:firstLine="480" w:firstLineChars="200"/>
        <w:rPr>
          <w:rFonts w:eastAsia="宋体"/>
          <w:snapToGrid w:val="0"/>
          <w:spacing w:val="0"/>
          <w:sz w:val="24"/>
        </w:rPr>
      </w:pPr>
      <w:r>
        <w:rPr>
          <w:rFonts w:hint="eastAsia" w:eastAsia="宋体"/>
          <w:snapToGrid w:val="0"/>
          <w:spacing w:val="0"/>
          <w:sz w:val="24"/>
        </w:rPr>
        <w:t>因公司进行权益分派导致其董事、监事和高级管理人员直接持有本公司股份发生变化的，仍应遵守上述规定。</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公司董事、监事、高级管理人员和证券事务代表所持公司股份发生变动的（因公司派发股票股利和资本公积转增股本导致的变动除外），应当及时向公司报告。</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董事、监事、高级管理人员、持有公司股份百分之五以上的股东，将其持有的公司股票在买入后六个月内卖出，或者在卖出后六个月内又买入，由此所得收益归公司所有，公司董事会将收回其所得收益。但是，证券公司因包销购入售后剩余股票而持有百分之五以上股份的，卖出该股票不受六个月时间限制。</w:t>
      </w:r>
    </w:p>
    <w:p>
      <w:pPr>
        <w:spacing w:line="460" w:lineRule="exact"/>
        <w:ind w:firstLine="480" w:firstLineChars="200"/>
        <w:rPr>
          <w:rFonts w:eastAsia="宋体"/>
          <w:snapToGrid w:val="0"/>
          <w:spacing w:val="0"/>
          <w:sz w:val="24"/>
        </w:rPr>
      </w:pPr>
      <w:r>
        <w:rPr>
          <w:rFonts w:eastAsia="宋体"/>
          <w:snapToGrid w:val="0"/>
          <w:spacing w:val="0"/>
          <w:sz w:val="24"/>
        </w:rPr>
        <w:t>公司董事会不按照前款规定执行的，股东有权要求董事会在三十日内执行。公司董事会未在上述期限内执行的，股东有权为了公司的利益以自己的名义直接向人民法院提起诉讼。</w:t>
      </w:r>
    </w:p>
    <w:p>
      <w:pPr>
        <w:spacing w:line="460" w:lineRule="exact"/>
        <w:ind w:firstLine="480" w:firstLineChars="200"/>
        <w:rPr>
          <w:rFonts w:eastAsia="宋体"/>
          <w:snapToGrid w:val="0"/>
          <w:spacing w:val="0"/>
          <w:sz w:val="24"/>
        </w:rPr>
      </w:pPr>
      <w:r>
        <w:rPr>
          <w:rFonts w:eastAsia="宋体"/>
          <w:snapToGrid w:val="0"/>
          <w:spacing w:val="0"/>
          <w:sz w:val="24"/>
        </w:rPr>
        <w:t>公司董事会不按照第一款的规定执行的，负有责任的董事依法承担连带责任。</w:t>
      </w:r>
    </w:p>
    <w:p>
      <w:pPr>
        <w:pStyle w:val="2"/>
        <w:numPr>
          <w:ilvl w:val="0"/>
          <w:numId w:val="0"/>
        </w:numPr>
        <w:spacing w:before="120" w:after="0" w:line="460" w:lineRule="exact"/>
        <w:ind w:left="2"/>
        <w:rPr>
          <w:rFonts w:eastAsia="宋体"/>
          <w:b/>
          <w:spacing w:val="0"/>
          <w:kern w:val="0"/>
          <w:sz w:val="30"/>
          <w:szCs w:val="30"/>
        </w:rPr>
      </w:pPr>
      <w:bookmarkStart w:id="40" w:name="_Toc422141921"/>
      <w:bookmarkStart w:id="41" w:name="_Toc19183"/>
      <w:bookmarkStart w:id="42" w:name="_Toc1249"/>
      <w:bookmarkStart w:id="43" w:name="_Toc203475057"/>
      <w:bookmarkStart w:id="44" w:name="_Toc12251"/>
      <w:bookmarkStart w:id="45" w:name="_Toc20986"/>
      <w:bookmarkStart w:id="46" w:name="_Toc511054554"/>
      <w:r>
        <w:rPr>
          <w:rFonts w:eastAsia="宋体"/>
          <w:b/>
          <w:spacing w:val="0"/>
          <w:kern w:val="0"/>
          <w:sz w:val="30"/>
          <w:szCs w:val="30"/>
        </w:rPr>
        <w:t>第四章  股东和股东大会</w:t>
      </w:r>
      <w:bookmarkEnd w:id="40"/>
      <w:bookmarkEnd w:id="41"/>
      <w:bookmarkEnd w:id="42"/>
      <w:bookmarkEnd w:id="43"/>
      <w:bookmarkEnd w:id="44"/>
      <w:bookmarkEnd w:id="45"/>
      <w:bookmarkEnd w:id="46"/>
    </w:p>
    <w:p>
      <w:pPr>
        <w:pStyle w:val="32"/>
        <w:numPr>
          <w:ilvl w:val="0"/>
          <w:numId w:val="0"/>
        </w:numPr>
        <w:spacing w:before="120" w:after="0" w:line="460" w:lineRule="exact"/>
        <w:ind w:left="-105"/>
        <w:rPr>
          <w:rFonts w:eastAsia="宋体"/>
          <w:b/>
          <w:snapToGrid w:val="0"/>
          <w:spacing w:val="0"/>
          <w:sz w:val="24"/>
          <w:szCs w:val="24"/>
        </w:rPr>
      </w:pPr>
      <w:bookmarkStart w:id="47" w:name="_Toc511054555"/>
      <w:bookmarkStart w:id="48" w:name="_Toc21926"/>
      <w:bookmarkStart w:id="49" w:name="_Toc203475058"/>
      <w:bookmarkStart w:id="50" w:name="_Toc27561"/>
      <w:bookmarkStart w:id="51" w:name="_Toc422141922"/>
      <w:bookmarkStart w:id="52" w:name="_Toc10851"/>
      <w:bookmarkStart w:id="53" w:name="_Toc6519"/>
      <w:r>
        <w:rPr>
          <w:rFonts w:eastAsia="宋体"/>
          <w:b/>
          <w:snapToGrid w:val="0"/>
          <w:spacing w:val="0"/>
          <w:sz w:val="24"/>
          <w:szCs w:val="24"/>
        </w:rPr>
        <w:t>第一节  股东</w:t>
      </w:r>
      <w:bookmarkEnd w:id="47"/>
      <w:bookmarkEnd w:id="48"/>
      <w:bookmarkEnd w:id="49"/>
      <w:bookmarkEnd w:id="50"/>
      <w:bookmarkEnd w:id="51"/>
      <w:bookmarkEnd w:id="52"/>
      <w:bookmarkEnd w:id="53"/>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公司依据</w:t>
      </w:r>
      <w:r>
        <w:rPr>
          <w:rFonts w:hint="eastAsia" w:ascii="宋体" w:hAnsi="宋体" w:eastAsia="宋体"/>
          <w:szCs w:val="21"/>
        </w:rPr>
        <w:t>证券登记机构提供的凭证</w:t>
      </w:r>
      <w:r>
        <w:rPr>
          <w:rFonts w:eastAsia="宋体"/>
          <w:snapToGrid w:val="0"/>
          <w:spacing w:val="0"/>
          <w:sz w:val="24"/>
        </w:rPr>
        <w:t>建立股东名册，股东名册是证明股东持有公司股份的充分证据。股东按其所持有股份的种类享有权利，承担义务；持有同一种类股份的股东，享有同等权利，承担同种义务。</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公司召开股东大会、分配股利、清算及从事其他需要确认股东身份的行为时，由董事会或股东大会召集人确定股权登记日，股权登记日登记在册的股东为享有相关权益的股东。</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公司股东享有下列权利：</w:t>
      </w:r>
    </w:p>
    <w:p>
      <w:pPr>
        <w:spacing w:line="460" w:lineRule="exact"/>
        <w:ind w:firstLine="480" w:firstLineChars="200"/>
        <w:rPr>
          <w:rFonts w:eastAsia="宋体"/>
          <w:snapToGrid w:val="0"/>
          <w:spacing w:val="0"/>
          <w:sz w:val="24"/>
        </w:rPr>
      </w:pPr>
      <w:r>
        <w:rPr>
          <w:rFonts w:eastAsia="宋体"/>
          <w:snapToGrid w:val="0"/>
          <w:spacing w:val="0"/>
          <w:sz w:val="24"/>
        </w:rPr>
        <w:t>（一）依照其所持有的股份份额获得股利和其他形式的利益分配；</w:t>
      </w:r>
    </w:p>
    <w:p>
      <w:pPr>
        <w:spacing w:line="460" w:lineRule="exact"/>
        <w:ind w:firstLine="480" w:firstLineChars="200"/>
        <w:rPr>
          <w:rFonts w:eastAsia="宋体"/>
          <w:snapToGrid w:val="0"/>
          <w:spacing w:val="0"/>
          <w:sz w:val="24"/>
        </w:rPr>
      </w:pPr>
      <w:r>
        <w:rPr>
          <w:rFonts w:eastAsia="宋体"/>
          <w:snapToGrid w:val="0"/>
          <w:spacing w:val="0"/>
          <w:sz w:val="24"/>
        </w:rPr>
        <w:t>（二）依法请求、召集、主持、参加或者委派股东代理人参加股东大会，并行使相应的表决权；</w:t>
      </w:r>
    </w:p>
    <w:p>
      <w:pPr>
        <w:spacing w:line="460" w:lineRule="exact"/>
        <w:ind w:firstLine="480" w:firstLineChars="200"/>
        <w:rPr>
          <w:rFonts w:eastAsia="宋体"/>
          <w:snapToGrid w:val="0"/>
          <w:spacing w:val="0"/>
          <w:sz w:val="24"/>
        </w:rPr>
      </w:pPr>
      <w:r>
        <w:rPr>
          <w:rFonts w:eastAsia="宋体"/>
          <w:snapToGrid w:val="0"/>
          <w:spacing w:val="0"/>
          <w:sz w:val="24"/>
        </w:rPr>
        <w:t>（三）对公司的经营进行监督，提出建议或者质询；</w:t>
      </w:r>
    </w:p>
    <w:p>
      <w:pPr>
        <w:spacing w:line="460" w:lineRule="exact"/>
        <w:ind w:firstLine="480" w:firstLineChars="200"/>
        <w:rPr>
          <w:rFonts w:eastAsia="宋体"/>
          <w:snapToGrid w:val="0"/>
          <w:spacing w:val="0"/>
          <w:sz w:val="24"/>
        </w:rPr>
      </w:pPr>
      <w:r>
        <w:rPr>
          <w:rFonts w:eastAsia="宋体"/>
          <w:snapToGrid w:val="0"/>
          <w:spacing w:val="0"/>
          <w:sz w:val="24"/>
        </w:rPr>
        <w:t>（四）依照法律、行政法规及本章程的规定转让、赠与或质押其所持有的股份；</w:t>
      </w:r>
    </w:p>
    <w:p>
      <w:pPr>
        <w:spacing w:line="460" w:lineRule="exact"/>
        <w:ind w:firstLine="480" w:firstLineChars="200"/>
        <w:rPr>
          <w:rFonts w:eastAsia="宋体"/>
          <w:snapToGrid w:val="0"/>
          <w:spacing w:val="0"/>
          <w:sz w:val="24"/>
        </w:rPr>
      </w:pPr>
      <w:r>
        <w:rPr>
          <w:rFonts w:eastAsia="宋体"/>
          <w:snapToGrid w:val="0"/>
          <w:spacing w:val="0"/>
          <w:sz w:val="24"/>
        </w:rPr>
        <w:t>（五）查阅本章程、股东名册、公司债券存根、股东大会会议记录、董事会会议决议、监事会会议决议、财务会计报告；</w:t>
      </w:r>
    </w:p>
    <w:p>
      <w:pPr>
        <w:spacing w:line="460" w:lineRule="exact"/>
        <w:ind w:firstLine="480" w:firstLineChars="200"/>
        <w:rPr>
          <w:rFonts w:eastAsia="宋体"/>
          <w:snapToGrid w:val="0"/>
          <w:spacing w:val="0"/>
          <w:sz w:val="24"/>
        </w:rPr>
      </w:pPr>
      <w:r>
        <w:rPr>
          <w:rFonts w:eastAsia="宋体"/>
          <w:snapToGrid w:val="0"/>
          <w:spacing w:val="0"/>
          <w:sz w:val="24"/>
        </w:rPr>
        <w:t>（六）公司终止或者清算时，按其所持有的股份份额参加公司剩余财产的分配；</w:t>
      </w:r>
    </w:p>
    <w:p>
      <w:pPr>
        <w:spacing w:line="460" w:lineRule="exact"/>
        <w:ind w:firstLine="480" w:firstLineChars="200"/>
        <w:rPr>
          <w:rFonts w:eastAsia="宋体"/>
          <w:snapToGrid w:val="0"/>
          <w:spacing w:val="0"/>
          <w:sz w:val="24"/>
        </w:rPr>
      </w:pPr>
      <w:r>
        <w:rPr>
          <w:rFonts w:eastAsia="宋体"/>
          <w:snapToGrid w:val="0"/>
          <w:spacing w:val="0"/>
          <w:sz w:val="24"/>
        </w:rPr>
        <w:t>（七）对股东大会作出的公司合并、分立决议持异议的股东，要求公司收购其股份；</w:t>
      </w:r>
    </w:p>
    <w:p>
      <w:pPr>
        <w:spacing w:line="460" w:lineRule="exact"/>
        <w:ind w:firstLine="480" w:firstLineChars="200"/>
        <w:rPr>
          <w:rFonts w:eastAsia="宋体"/>
          <w:snapToGrid w:val="0"/>
          <w:spacing w:val="0"/>
          <w:sz w:val="24"/>
        </w:rPr>
      </w:pPr>
      <w:r>
        <w:rPr>
          <w:rFonts w:eastAsia="宋体"/>
          <w:snapToGrid w:val="0"/>
          <w:spacing w:val="0"/>
          <w:sz w:val="24"/>
        </w:rPr>
        <w:t>（八）法律、行政法规、部门规章或本章程规定的其他权利。</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股东提出查阅前条所述有关信息或者索取资料的，应当向公司提供证明其持有公司股份的种类以及持股数量的书面文件，公司经核实股东身份后按照股东的要求予以提供。</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公司股东大会、董事会决议内容违反法律、行政法规的，股东有权请求人民法院认定无效。</w:t>
      </w:r>
    </w:p>
    <w:p>
      <w:pPr>
        <w:spacing w:line="460" w:lineRule="exact"/>
        <w:ind w:firstLine="480" w:firstLineChars="200"/>
        <w:rPr>
          <w:rFonts w:eastAsia="宋体"/>
          <w:snapToGrid w:val="0"/>
          <w:spacing w:val="0"/>
          <w:sz w:val="24"/>
        </w:rPr>
      </w:pPr>
      <w:r>
        <w:rPr>
          <w:rFonts w:eastAsia="宋体"/>
          <w:snapToGrid w:val="0"/>
          <w:spacing w:val="0"/>
          <w:sz w:val="24"/>
        </w:rPr>
        <w:t>股东大会、董事会的会议召集程序、表决方式违反法律、行政法规或者本章程，或者决议内容违反本章程的，股东有权自决议作出之日起六十日内，请求人民法院撤销。</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董事、高级管理人员执行公司职务时违反法律、行政法规或者本章程的规定，给公司造成损失的，连续一百八十日以上单独或合并持有公司百分之一以上股份的股东有权书面请求监事会向人民法院提起诉讼；监事会执行公司职务时违反法律、行政法规或者本章程的规定，给公司造成损失的，股东可以书面请求董事会向人民法院提起诉讼。</w:t>
      </w:r>
    </w:p>
    <w:p>
      <w:pPr>
        <w:spacing w:line="460" w:lineRule="exact"/>
        <w:ind w:firstLine="480" w:firstLineChars="200"/>
        <w:rPr>
          <w:rFonts w:eastAsia="宋体"/>
          <w:snapToGrid w:val="0"/>
          <w:spacing w:val="0"/>
          <w:sz w:val="24"/>
        </w:rPr>
      </w:pPr>
      <w:r>
        <w:rPr>
          <w:rFonts w:eastAsia="宋体"/>
          <w:snapToGrid w:val="0"/>
          <w:spacing w:val="0"/>
          <w:sz w:val="24"/>
        </w:rPr>
        <w:t>监事会、董事会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spacing w:line="460" w:lineRule="exact"/>
        <w:ind w:firstLine="480" w:firstLineChars="200"/>
        <w:rPr>
          <w:rFonts w:eastAsia="宋体"/>
          <w:snapToGrid w:val="0"/>
          <w:spacing w:val="0"/>
          <w:sz w:val="24"/>
        </w:rPr>
      </w:pPr>
      <w:r>
        <w:rPr>
          <w:rFonts w:eastAsia="宋体"/>
          <w:snapToGrid w:val="0"/>
          <w:spacing w:val="0"/>
          <w:sz w:val="24"/>
        </w:rPr>
        <w:t>他人侵犯公司合法权益，给公司造成损失的，本条第一款规定的股东可以依照前两款的规定向人民法院提起诉讼。</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董事、高级管理人员违反法律、行政法规或者本章程的规定，损害股东利益的，股东可以向人民法院提起诉讼。</w:t>
      </w:r>
    </w:p>
    <w:p>
      <w:pPr>
        <w:numPr>
          <w:ilvl w:val="0"/>
          <w:numId w:val="8"/>
        </w:numPr>
        <w:tabs>
          <w:tab w:val="left" w:pos="2100"/>
          <w:tab w:val="clear" w:pos="1605"/>
        </w:tabs>
        <w:spacing w:line="460" w:lineRule="exact"/>
        <w:rPr>
          <w:rFonts w:eastAsia="宋体"/>
          <w:snapToGrid w:val="0"/>
          <w:spacing w:val="0"/>
          <w:sz w:val="24"/>
        </w:rPr>
      </w:pPr>
      <w:r>
        <w:rPr>
          <w:rFonts w:eastAsia="宋体"/>
          <w:snapToGrid w:val="0"/>
          <w:spacing w:val="0"/>
          <w:sz w:val="24"/>
        </w:rPr>
        <w:t>公司股东承担下列义务：</w:t>
      </w:r>
    </w:p>
    <w:p>
      <w:pPr>
        <w:spacing w:line="460" w:lineRule="exact"/>
        <w:ind w:firstLine="480" w:firstLineChars="200"/>
        <w:rPr>
          <w:rFonts w:eastAsia="宋体"/>
          <w:snapToGrid w:val="0"/>
          <w:spacing w:val="0"/>
          <w:sz w:val="24"/>
        </w:rPr>
      </w:pPr>
      <w:r>
        <w:rPr>
          <w:rFonts w:eastAsia="宋体"/>
          <w:snapToGrid w:val="0"/>
          <w:spacing w:val="0"/>
          <w:sz w:val="24"/>
        </w:rPr>
        <w:t>（一）遵守法律、行政法规和本章程；</w:t>
      </w:r>
    </w:p>
    <w:p>
      <w:pPr>
        <w:spacing w:line="460" w:lineRule="exact"/>
        <w:ind w:firstLine="480" w:firstLineChars="200"/>
        <w:rPr>
          <w:rFonts w:eastAsia="宋体"/>
          <w:snapToGrid w:val="0"/>
          <w:spacing w:val="0"/>
          <w:sz w:val="24"/>
        </w:rPr>
      </w:pPr>
      <w:r>
        <w:rPr>
          <w:rFonts w:eastAsia="宋体"/>
          <w:snapToGrid w:val="0"/>
          <w:spacing w:val="0"/>
          <w:sz w:val="24"/>
        </w:rPr>
        <w:t>（二）依其所认购的股份和入股方式缴纳股金；</w:t>
      </w:r>
    </w:p>
    <w:p>
      <w:pPr>
        <w:spacing w:line="460" w:lineRule="exact"/>
        <w:ind w:firstLine="480" w:firstLineChars="200"/>
        <w:rPr>
          <w:rFonts w:eastAsia="宋体"/>
          <w:snapToGrid w:val="0"/>
          <w:spacing w:val="0"/>
          <w:sz w:val="24"/>
        </w:rPr>
      </w:pPr>
      <w:r>
        <w:rPr>
          <w:rFonts w:eastAsia="宋体"/>
          <w:snapToGrid w:val="0"/>
          <w:spacing w:val="0"/>
          <w:sz w:val="24"/>
        </w:rPr>
        <w:t>（三）除法律、法规规定的情形外，不得退股；</w:t>
      </w:r>
    </w:p>
    <w:p>
      <w:pPr>
        <w:spacing w:line="460" w:lineRule="exact"/>
        <w:ind w:firstLine="480" w:firstLineChars="200"/>
        <w:rPr>
          <w:rFonts w:eastAsia="宋体"/>
          <w:snapToGrid w:val="0"/>
          <w:spacing w:val="0"/>
          <w:sz w:val="24"/>
        </w:rPr>
      </w:pPr>
      <w:r>
        <w:rPr>
          <w:rFonts w:eastAsia="宋体"/>
          <w:snapToGrid w:val="0"/>
          <w:spacing w:val="0"/>
          <w:sz w:val="24"/>
        </w:rPr>
        <w:t>（四）不得滥用股东权利损害公司或者其他股东的利益；不得滥用公司法人独立地位和股东有限责任损害公司债权人的利益</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公司股东滥用股东权利给公司或者其他股东造成损失的，应当依法承担赔偿责任</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公司股东滥用公司法人独立地位和股东有限责任，逃避债务，严重损害公司债权人利益的，应当对公司债务承担连带责任</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（五）法律、行政法规及本章程规定应当承担的其他义务。</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持有公司百分之五以上有表决权股份的股东，将其持有的股份进行质押的，应当自该事实发生当日，向公司作出书面报告。</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公司的控股股东、实际控制人不得利用其关联关系损害公司利益。违反规定</w:t>
      </w:r>
      <w:r>
        <w:rPr>
          <w:rFonts w:hint="eastAsia" w:eastAsia="宋体"/>
          <w:snapToGrid w:val="0"/>
          <w:spacing w:val="0"/>
          <w:sz w:val="24"/>
        </w:rPr>
        <w:t>的</w:t>
      </w:r>
      <w:r>
        <w:rPr>
          <w:rFonts w:eastAsia="宋体"/>
          <w:snapToGrid w:val="0"/>
          <w:spacing w:val="0"/>
          <w:sz w:val="24"/>
        </w:rPr>
        <w:t>，给公司造成损失的，应当承担赔偿责任。</w:t>
      </w:r>
    </w:p>
    <w:p>
      <w:pPr>
        <w:spacing w:line="460" w:lineRule="exact"/>
        <w:ind w:firstLine="480" w:firstLineChars="200"/>
        <w:rPr>
          <w:rFonts w:eastAsia="宋体"/>
          <w:snapToGrid w:val="0"/>
          <w:spacing w:val="0"/>
          <w:sz w:val="24"/>
        </w:rPr>
      </w:pPr>
      <w:r>
        <w:rPr>
          <w:rFonts w:eastAsia="宋体"/>
          <w:snapToGrid w:val="0"/>
          <w:spacing w:val="0"/>
          <w:sz w:val="24"/>
        </w:rPr>
        <w:t>公司控股股东及实际控制人对公司和公司</w:t>
      </w:r>
      <w:r>
        <w:rPr>
          <w:rFonts w:hint="eastAsia" w:eastAsia="宋体"/>
          <w:snapToGrid w:val="0"/>
          <w:spacing w:val="0"/>
          <w:sz w:val="24"/>
        </w:rPr>
        <w:t>其他</w:t>
      </w:r>
      <w:r>
        <w:rPr>
          <w:rFonts w:eastAsia="宋体"/>
          <w:snapToGrid w:val="0"/>
          <w:spacing w:val="0"/>
          <w:sz w:val="24"/>
        </w:rPr>
        <w:t>股东负有诚信义务。控股股东应严格依法行使出资人的权利，控股股东不得利用利润分配、资产重组、对外投资、资金占用、借款担保等方式损害公司和</w:t>
      </w:r>
      <w:r>
        <w:rPr>
          <w:rFonts w:hint="eastAsia" w:eastAsia="宋体"/>
          <w:snapToGrid w:val="0"/>
          <w:spacing w:val="0"/>
          <w:sz w:val="24"/>
        </w:rPr>
        <w:t>其他</w:t>
      </w:r>
      <w:r>
        <w:rPr>
          <w:rFonts w:eastAsia="宋体"/>
          <w:snapToGrid w:val="0"/>
          <w:spacing w:val="0"/>
          <w:sz w:val="24"/>
        </w:rPr>
        <w:t>股东的合法权益，不得利用其控制地位损害公司和</w:t>
      </w:r>
      <w:r>
        <w:rPr>
          <w:rFonts w:hint="eastAsia" w:eastAsia="宋体"/>
          <w:snapToGrid w:val="0"/>
          <w:spacing w:val="0"/>
          <w:sz w:val="24"/>
        </w:rPr>
        <w:t>其他</w:t>
      </w:r>
      <w:r>
        <w:rPr>
          <w:rFonts w:eastAsia="宋体"/>
          <w:snapToGrid w:val="0"/>
          <w:spacing w:val="0"/>
          <w:sz w:val="24"/>
        </w:rPr>
        <w:t>股东的利益。</w:t>
      </w:r>
    </w:p>
    <w:p>
      <w:pPr>
        <w:spacing w:line="460" w:lineRule="exact"/>
        <w:ind w:firstLine="480" w:firstLineChars="200"/>
        <w:rPr>
          <w:rFonts w:eastAsia="宋体"/>
          <w:snapToGrid w:val="0"/>
          <w:spacing w:val="0"/>
          <w:sz w:val="24"/>
        </w:rPr>
      </w:pPr>
      <w:r>
        <w:rPr>
          <w:rFonts w:hint="eastAsia" w:eastAsia="宋体"/>
          <w:snapToGrid w:val="0"/>
          <w:spacing w:val="0"/>
          <w:sz w:val="24"/>
        </w:rPr>
        <w:t>公司控股股东、实际控制人及其控制的其他企业不得利用关联交易、资产重组、垫付费用、对外投资、担保和其他方式直接或者间接侵占公司资金、资产，损害公司及其他股东的利益。违反本章程规定，给公司造成损失的，应当承担赔偿责任。发生公司控股股东侵占公司资产的情况时，公司董事会应立即向人民法院申请司法冻结控股股东股权。凡控股股东不能以现金清偿的，通过变现控股股东股权偿还侵占资产。</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监事和高级管理人员具有维护公司资产安全的法定义务。当公司发生控股股东或实际控制人侵占公司资产、损害公司及其他股东利益情形时，公司董事会应采取有效措施要求控股股东、实际控制人停止侵害并就该侵害造成的损失承担赔偿责任。</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监事、高级管理人员违反本章程规定，协助、纵容控股股东及其他关联方侵占公司财产，损害公司利益时，公司将视情节轻重，对直接责任人处以警告、降职、免职、开除等处分；对负有严重责任的董事、监事则可提交股东大会罢免。</w:t>
      </w:r>
    </w:p>
    <w:p>
      <w:pPr>
        <w:pStyle w:val="32"/>
        <w:numPr>
          <w:ilvl w:val="0"/>
          <w:numId w:val="0"/>
        </w:numPr>
        <w:spacing w:before="120" w:after="0" w:line="460" w:lineRule="exact"/>
        <w:ind w:left="-3" w:leftChars="-1"/>
        <w:rPr>
          <w:rFonts w:eastAsia="宋体"/>
          <w:b/>
          <w:snapToGrid w:val="0"/>
          <w:spacing w:val="0"/>
          <w:sz w:val="24"/>
          <w:szCs w:val="24"/>
        </w:rPr>
      </w:pPr>
      <w:bookmarkStart w:id="54" w:name="_Toc19708"/>
      <w:bookmarkStart w:id="55" w:name="_Toc203475059"/>
      <w:bookmarkStart w:id="56" w:name="_Toc18392"/>
      <w:bookmarkStart w:id="57" w:name="_Toc422141923"/>
      <w:bookmarkStart w:id="58" w:name="_Toc26477"/>
      <w:bookmarkStart w:id="59" w:name="_Toc511054556"/>
      <w:bookmarkStart w:id="60" w:name="_Toc3994"/>
      <w:r>
        <w:rPr>
          <w:rFonts w:eastAsia="宋体"/>
          <w:b/>
          <w:snapToGrid w:val="0"/>
          <w:spacing w:val="0"/>
          <w:sz w:val="24"/>
          <w:szCs w:val="24"/>
        </w:rPr>
        <w:t>第二节  股东大会的一般规定</w:t>
      </w:r>
      <w:bookmarkEnd w:id="54"/>
      <w:bookmarkEnd w:id="55"/>
      <w:bookmarkEnd w:id="56"/>
      <w:bookmarkEnd w:id="57"/>
      <w:bookmarkEnd w:id="58"/>
      <w:bookmarkEnd w:id="59"/>
      <w:bookmarkEnd w:id="60"/>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股东大会是公司的权力机构，依法行使下列职权：</w:t>
      </w:r>
    </w:p>
    <w:p>
      <w:pPr>
        <w:spacing w:line="460" w:lineRule="exact"/>
        <w:ind w:firstLine="480" w:firstLineChars="200"/>
        <w:rPr>
          <w:rFonts w:eastAsia="宋体"/>
          <w:snapToGrid w:val="0"/>
          <w:spacing w:val="0"/>
          <w:sz w:val="24"/>
        </w:rPr>
      </w:pPr>
      <w:r>
        <w:rPr>
          <w:rFonts w:eastAsia="宋体"/>
          <w:snapToGrid w:val="0"/>
          <w:spacing w:val="0"/>
          <w:sz w:val="24"/>
        </w:rPr>
        <w:t>（一）决定公司</w:t>
      </w:r>
      <w:r>
        <w:rPr>
          <w:rFonts w:hint="eastAsia" w:eastAsia="宋体"/>
          <w:snapToGrid w:val="0"/>
          <w:spacing w:val="0"/>
          <w:sz w:val="24"/>
        </w:rPr>
        <w:t>的</w:t>
      </w:r>
      <w:r>
        <w:rPr>
          <w:rFonts w:eastAsia="宋体"/>
          <w:snapToGrid w:val="0"/>
          <w:spacing w:val="0"/>
          <w:sz w:val="24"/>
        </w:rPr>
        <w:t>经营方针和投资计划；</w:t>
      </w:r>
    </w:p>
    <w:p>
      <w:pPr>
        <w:spacing w:line="460" w:lineRule="exact"/>
        <w:ind w:firstLine="480" w:firstLineChars="200"/>
        <w:rPr>
          <w:rFonts w:eastAsia="宋体"/>
          <w:snapToGrid w:val="0"/>
          <w:spacing w:val="0"/>
          <w:sz w:val="24"/>
        </w:rPr>
      </w:pPr>
      <w:r>
        <w:rPr>
          <w:rFonts w:eastAsia="宋体"/>
          <w:snapToGrid w:val="0"/>
          <w:spacing w:val="0"/>
          <w:sz w:val="24"/>
        </w:rPr>
        <w:t>（二）选举和更换非由职工代表担任的董事、监事，决定有关董事、监事的报酬事项；</w:t>
      </w:r>
    </w:p>
    <w:p>
      <w:pPr>
        <w:spacing w:line="460" w:lineRule="exact"/>
        <w:ind w:firstLine="480" w:firstLineChars="200"/>
        <w:rPr>
          <w:rFonts w:eastAsia="宋体"/>
          <w:snapToGrid w:val="0"/>
          <w:spacing w:val="0"/>
          <w:sz w:val="24"/>
        </w:rPr>
      </w:pPr>
      <w:r>
        <w:rPr>
          <w:rFonts w:eastAsia="宋体"/>
          <w:snapToGrid w:val="0"/>
          <w:spacing w:val="0"/>
          <w:sz w:val="24"/>
        </w:rPr>
        <w:t>（三）审议批准董事会的报告；</w:t>
      </w:r>
    </w:p>
    <w:p>
      <w:pPr>
        <w:spacing w:line="460" w:lineRule="exact"/>
        <w:ind w:firstLine="480" w:firstLineChars="200"/>
        <w:rPr>
          <w:rFonts w:eastAsia="宋体"/>
          <w:snapToGrid w:val="0"/>
          <w:spacing w:val="0"/>
          <w:sz w:val="24"/>
        </w:rPr>
      </w:pPr>
      <w:r>
        <w:rPr>
          <w:rFonts w:eastAsia="宋体"/>
          <w:snapToGrid w:val="0"/>
          <w:spacing w:val="0"/>
          <w:sz w:val="24"/>
        </w:rPr>
        <w:t>（四）审议批准监事会的报告；</w:t>
      </w:r>
    </w:p>
    <w:p>
      <w:pPr>
        <w:spacing w:line="460" w:lineRule="exact"/>
        <w:ind w:firstLine="480" w:firstLineChars="200"/>
        <w:rPr>
          <w:rFonts w:eastAsia="宋体"/>
          <w:snapToGrid w:val="0"/>
          <w:spacing w:val="0"/>
          <w:sz w:val="24"/>
        </w:rPr>
      </w:pPr>
      <w:r>
        <w:rPr>
          <w:rFonts w:eastAsia="宋体"/>
          <w:snapToGrid w:val="0"/>
          <w:spacing w:val="0"/>
          <w:sz w:val="24"/>
        </w:rPr>
        <w:t>（五）审议批准公司的年度财务预算方案、决算方案；</w:t>
      </w:r>
    </w:p>
    <w:p>
      <w:pPr>
        <w:spacing w:line="460" w:lineRule="exact"/>
        <w:ind w:firstLine="480" w:firstLineChars="200"/>
        <w:rPr>
          <w:rFonts w:eastAsia="宋体"/>
          <w:snapToGrid w:val="0"/>
          <w:spacing w:val="0"/>
          <w:sz w:val="24"/>
        </w:rPr>
      </w:pPr>
      <w:r>
        <w:rPr>
          <w:rFonts w:eastAsia="宋体"/>
          <w:snapToGrid w:val="0"/>
          <w:spacing w:val="0"/>
          <w:sz w:val="24"/>
        </w:rPr>
        <w:t>（六）审议批准公司的利润分配方案和弥补亏损方案；</w:t>
      </w:r>
    </w:p>
    <w:p>
      <w:pPr>
        <w:spacing w:line="460" w:lineRule="exact"/>
        <w:ind w:firstLine="480" w:firstLineChars="200"/>
        <w:rPr>
          <w:rFonts w:eastAsia="宋体"/>
          <w:snapToGrid w:val="0"/>
          <w:spacing w:val="0"/>
          <w:sz w:val="24"/>
        </w:rPr>
      </w:pPr>
      <w:r>
        <w:rPr>
          <w:rFonts w:eastAsia="宋体"/>
          <w:snapToGrid w:val="0"/>
          <w:spacing w:val="0"/>
          <w:sz w:val="24"/>
        </w:rPr>
        <w:t>（七）对公司增加或者减少注册资本作出决议；</w:t>
      </w:r>
    </w:p>
    <w:p>
      <w:pPr>
        <w:spacing w:line="460" w:lineRule="exact"/>
        <w:ind w:firstLine="480" w:firstLineChars="200"/>
        <w:rPr>
          <w:rFonts w:eastAsia="宋体"/>
          <w:snapToGrid w:val="0"/>
          <w:spacing w:val="0"/>
          <w:sz w:val="24"/>
        </w:rPr>
      </w:pPr>
      <w:r>
        <w:rPr>
          <w:rFonts w:eastAsia="宋体"/>
          <w:snapToGrid w:val="0"/>
          <w:spacing w:val="0"/>
          <w:sz w:val="24"/>
        </w:rPr>
        <w:t>（八）对发行公司债券作出决议；</w:t>
      </w:r>
    </w:p>
    <w:p>
      <w:pPr>
        <w:spacing w:line="460" w:lineRule="exact"/>
        <w:ind w:firstLine="480" w:firstLineChars="200"/>
        <w:rPr>
          <w:rFonts w:eastAsia="宋体"/>
          <w:snapToGrid w:val="0"/>
          <w:spacing w:val="0"/>
          <w:sz w:val="24"/>
        </w:rPr>
      </w:pPr>
      <w:r>
        <w:rPr>
          <w:rFonts w:eastAsia="宋体"/>
          <w:snapToGrid w:val="0"/>
          <w:spacing w:val="0"/>
          <w:sz w:val="24"/>
        </w:rPr>
        <w:t>（九）对公司合并、分立、解散、清算或者变更公司形式作出决议；</w:t>
      </w:r>
    </w:p>
    <w:p>
      <w:pPr>
        <w:spacing w:line="460" w:lineRule="exact"/>
        <w:ind w:firstLine="480" w:firstLineChars="200"/>
        <w:rPr>
          <w:rFonts w:eastAsia="宋体"/>
          <w:snapToGrid w:val="0"/>
          <w:spacing w:val="0"/>
          <w:sz w:val="24"/>
        </w:rPr>
      </w:pPr>
      <w:r>
        <w:rPr>
          <w:rFonts w:eastAsia="宋体"/>
          <w:snapToGrid w:val="0"/>
          <w:spacing w:val="0"/>
          <w:sz w:val="24"/>
        </w:rPr>
        <w:t>（十）修改公司章程；</w:t>
      </w:r>
    </w:p>
    <w:p>
      <w:pPr>
        <w:spacing w:line="460" w:lineRule="exact"/>
        <w:ind w:firstLine="480" w:firstLineChars="200"/>
        <w:rPr>
          <w:rFonts w:eastAsia="宋体"/>
          <w:snapToGrid w:val="0"/>
          <w:spacing w:val="0"/>
          <w:sz w:val="24"/>
        </w:rPr>
      </w:pPr>
      <w:r>
        <w:rPr>
          <w:rFonts w:eastAsia="宋体"/>
          <w:snapToGrid w:val="0"/>
          <w:spacing w:val="0"/>
          <w:sz w:val="24"/>
        </w:rPr>
        <w:t>（十一）对公司聘用、解聘会计师事务所作出决议；</w:t>
      </w:r>
    </w:p>
    <w:p>
      <w:pPr>
        <w:spacing w:line="460" w:lineRule="exact"/>
        <w:ind w:firstLine="480" w:firstLineChars="200"/>
        <w:rPr>
          <w:rFonts w:eastAsia="宋体"/>
          <w:snapToGrid w:val="0"/>
          <w:spacing w:val="0"/>
          <w:sz w:val="24"/>
        </w:rPr>
      </w:pPr>
      <w:r>
        <w:rPr>
          <w:rFonts w:eastAsia="宋体"/>
          <w:snapToGrid w:val="0"/>
          <w:spacing w:val="0"/>
          <w:sz w:val="24"/>
        </w:rPr>
        <w:t>（十二）审议批准符合第</w:t>
      </w:r>
      <w:r>
        <w:rPr>
          <w:rFonts w:hint="eastAsia" w:eastAsia="宋体"/>
          <w:snapToGrid w:val="0"/>
          <w:spacing w:val="0"/>
          <w:sz w:val="24"/>
        </w:rPr>
        <w:t>四十一</w:t>
      </w:r>
      <w:r>
        <w:rPr>
          <w:rFonts w:eastAsia="宋体"/>
          <w:snapToGrid w:val="0"/>
          <w:spacing w:val="0"/>
          <w:sz w:val="24"/>
        </w:rPr>
        <w:t>条规定条件的担保事项；</w:t>
      </w:r>
    </w:p>
    <w:p>
      <w:pPr>
        <w:spacing w:line="460" w:lineRule="exact"/>
        <w:ind w:firstLine="480" w:firstLineChars="200"/>
        <w:rPr>
          <w:rFonts w:eastAsia="宋体"/>
          <w:snapToGrid w:val="0"/>
          <w:spacing w:val="0"/>
          <w:sz w:val="24"/>
        </w:rPr>
      </w:pPr>
      <w:r>
        <w:rPr>
          <w:rFonts w:eastAsia="宋体"/>
          <w:snapToGrid w:val="0"/>
          <w:spacing w:val="0"/>
          <w:sz w:val="24"/>
        </w:rPr>
        <w:t>（十三）审议公司在一年内购买、出售重大资产超过公司最近一期经审计总资产百分之三十的事项；</w:t>
      </w:r>
    </w:p>
    <w:p>
      <w:pPr>
        <w:spacing w:line="460" w:lineRule="exact"/>
        <w:ind w:firstLine="480" w:firstLineChars="200"/>
        <w:rPr>
          <w:rFonts w:eastAsia="宋体"/>
          <w:snapToGrid w:val="0"/>
          <w:spacing w:val="0"/>
          <w:sz w:val="24"/>
        </w:rPr>
      </w:pPr>
      <w:r>
        <w:rPr>
          <w:rFonts w:eastAsia="宋体"/>
          <w:snapToGrid w:val="0"/>
          <w:spacing w:val="0"/>
          <w:sz w:val="24"/>
        </w:rPr>
        <w:t>（十四）审议批准公司在一年内对外投资超过公司最近一期经审计</w:t>
      </w:r>
      <w:r>
        <w:rPr>
          <w:rFonts w:hint="eastAsia" w:eastAsia="宋体"/>
          <w:snapToGrid w:val="0"/>
          <w:spacing w:val="0"/>
          <w:sz w:val="24"/>
        </w:rPr>
        <w:t>净</w:t>
      </w:r>
      <w:r>
        <w:rPr>
          <w:rFonts w:eastAsia="宋体"/>
          <w:snapToGrid w:val="0"/>
          <w:spacing w:val="0"/>
          <w:sz w:val="24"/>
        </w:rPr>
        <w:t>资产百分之三十的事项；</w:t>
      </w:r>
    </w:p>
    <w:p>
      <w:pPr>
        <w:spacing w:line="460" w:lineRule="exact"/>
        <w:ind w:firstLine="480" w:firstLineChars="200"/>
        <w:rPr>
          <w:rFonts w:eastAsia="宋体"/>
          <w:snapToGrid w:val="0"/>
          <w:spacing w:val="0"/>
          <w:sz w:val="24"/>
        </w:rPr>
      </w:pPr>
      <w:r>
        <w:rPr>
          <w:rFonts w:hint="eastAsia" w:eastAsia="宋体"/>
          <w:snapToGrid w:val="0"/>
          <w:spacing w:val="0"/>
          <w:sz w:val="24"/>
        </w:rPr>
        <w:t>（十五）</w:t>
      </w:r>
      <w:r>
        <w:rPr>
          <w:rFonts w:eastAsia="宋体"/>
          <w:snapToGrid w:val="0"/>
          <w:spacing w:val="0"/>
          <w:sz w:val="24"/>
        </w:rPr>
        <w:t>审议批准公司在一年内</w:t>
      </w:r>
      <w:r>
        <w:rPr>
          <w:rFonts w:hint="eastAsia" w:eastAsia="宋体"/>
          <w:snapToGrid w:val="0"/>
          <w:spacing w:val="0"/>
          <w:sz w:val="24"/>
        </w:rPr>
        <w:t>贷款金额超过</w:t>
      </w:r>
      <w:r>
        <w:rPr>
          <w:rFonts w:eastAsia="宋体"/>
          <w:snapToGrid w:val="0"/>
          <w:spacing w:val="0"/>
          <w:sz w:val="24"/>
        </w:rPr>
        <w:t>公司最近一期经审计总资产百分之</w:t>
      </w:r>
      <w:r>
        <w:rPr>
          <w:rFonts w:hint="eastAsia" w:eastAsia="宋体"/>
          <w:snapToGrid w:val="0"/>
          <w:spacing w:val="0"/>
          <w:sz w:val="24"/>
        </w:rPr>
        <w:t>五十</w:t>
      </w:r>
      <w:r>
        <w:rPr>
          <w:rFonts w:eastAsia="宋体"/>
          <w:snapToGrid w:val="0"/>
          <w:spacing w:val="0"/>
          <w:sz w:val="24"/>
        </w:rPr>
        <w:t>以上的事项；</w:t>
      </w:r>
    </w:p>
    <w:p>
      <w:pPr>
        <w:spacing w:line="460" w:lineRule="exact"/>
        <w:ind w:firstLine="480" w:firstLineChars="200"/>
        <w:rPr>
          <w:rFonts w:eastAsia="宋体"/>
          <w:snapToGrid w:val="0"/>
          <w:spacing w:val="0"/>
          <w:sz w:val="24"/>
        </w:rPr>
      </w:pPr>
      <w:r>
        <w:rPr>
          <w:rFonts w:hint="eastAsia" w:eastAsia="宋体"/>
          <w:snapToGrid w:val="0"/>
          <w:spacing w:val="0"/>
          <w:sz w:val="24"/>
        </w:rPr>
        <w:t>（十六）</w:t>
      </w:r>
      <w:r>
        <w:rPr>
          <w:rFonts w:eastAsia="宋体"/>
          <w:snapToGrid w:val="0"/>
          <w:spacing w:val="0"/>
          <w:sz w:val="24"/>
        </w:rPr>
        <w:t>审议批准公司在一年内资产抵押总额超过公司最近一期经审计</w:t>
      </w:r>
      <w:r>
        <w:rPr>
          <w:rFonts w:hint="eastAsia" w:eastAsia="宋体"/>
          <w:snapToGrid w:val="0"/>
          <w:spacing w:val="0"/>
          <w:sz w:val="24"/>
        </w:rPr>
        <w:t>总</w:t>
      </w:r>
      <w:r>
        <w:rPr>
          <w:rFonts w:eastAsia="宋体"/>
          <w:snapToGrid w:val="0"/>
          <w:spacing w:val="0"/>
          <w:sz w:val="24"/>
        </w:rPr>
        <w:t>资产的百分之五十的事项；</w:t>
      </w:r>
    </w:p>
    <w:p>
      <w:pPr>
        <w:spacing w:line="460" w:lineRule="exact"/>
        <w:ind w:firstLine="480" w:firstLineChars="200"/>
        <w:rPr>
          <w:rFonts w:eastAsia="宋体"/>
          <w:snapToGrid w:val="0"/>
          <w:spacing w:val="0"/>
          <w:sz w:val="24"/>
        </w:rPr>
      </w:pPr>
      <w:r>
        <w:rPr>
          <w:rFonts w:eastAsia="宋体"/>
          <w:snapToGrid w:val="0"/>
          <w:spacing w:val="0"/>
          <w:sz w:val="24"/>
        </w:rPr>
        <w:t>（十</w:t>
      </w:r>
      <w:r>
        <w:rPr>
          <w:rFonts w:hint="eastAsia" w:eastAsia="宋体"/>
          <w:snapToGrid w:val="0"/>
          <w:spacing w:val="0"/>
          <w:sz w:val="24"/>
        </w:rPr>
        <w:t>七</w:t>
      </w:r>
      <w:r>
        <w:rPr>
          <w:rFonts w:eastAsia="宋体"/>
          <w:snapToGrid w:val="0"/>
          <w:spacing w:val="0"/>
          <w:sz w:val="24"/>
        </w:rPr>
        <w:t>）审议批准公司与关联人（包括关联法人和关联自然人）发生的金额在三千万元以上，且占公司最近一期经审计净资产绝对值百分之五以上的重大关联交易</w:t>
      </w:r>
      <w:r>
        <w:rPr>
          <w:rFonts w:hint="eastAsia" w:eastAsia="宋体"/>
          <w:snapToGrid w:val="0"/>
          <w:spacing w:val="0"/>
          <w:sz w:val="24"/>
        </w:rPr>
        <w:t>（公司获赠现金资产和</w:t>
      </w:r>
      <w:r>
        <w:rPr>
          <w:rFonts w:hint="eastAsia" w:eastAsia="宋体"/>
          <w:snapToGrid w:val="0"/>
          <w:spacing w:val="0"/>
          <w:sz w:val="24"/>
          <w:lang w:val="en-US" w:eastAsia="zh-CN"/>
        </w:rPr>
        <w:t>提供</w:t>
      </w:r>
      <w:r>
        <w:rPr>
          <w:rFonts w:hint="eastAsia" w:eastAsia="宋体"/>
          <w:snapToGrid w:val="0"/>
          <w:spacing w:val="0"/>
          <w:sz w:val="24"/>
        </w:rPr>
        <w:t>担保除外）</w:t>
      </w:r>
      <w:r>
        <w:rPr>
          <w:rFonts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（十</w:t>
      </w:r>
      <w:r>
        <w:rPr>
          <w:rFonts w:hint="eastAsia" w:eastAsia="宋体"/>
          <w:snapToGrid w:val="0"/>
          <w:spacing w:val="0"/>
          <w:sz w:val="24"/>
        </w:rPr>
        <w:t>八</w:t>
      </w:r>
      <w:r>
        <w:rPr>
          <w:rFonts w:eastAsia="宋体"/>
          <w:snapToGrid w:val="0"/>
          <w:spacing w:val="0"/>
          <w:sz w:val="24"/>
        </w:rPr>
        <w:t>）</w:t>
      </w:r>
      <w:r>
        <w:rPr>
          <w:rFonts w:hint="eastAsia" w:eastAsia="宋体"/>
          <w:snapToGrid w:val="0"/>
          <w:spacing w:val="0"/>
          <w:sz w:val="24"/>
        </w:rPr>
        <w:t>审议公司发生的交易【包括但不限于：购买或出售资产（不含购买原材料、燃料和动力，以及出售产品、商品等与日常经营相关的资产，但资产置换中涉及购买、出售此类资产的，仍包含在内）、对外投资（含委托理财、对子公司投资等）、提供财务资助（含对子公司提供财务资助等）、提供担保（含对子公司担保）、租入或者租出资产、签订管理方面的合同（含委托经营、受托经营等）、赠与或者受赠资产、债权或者债务重组、研究与开发项目的转移、签订许可协议、证券交易所认定的其他交易，但是公司受赠现金资产除外】达到下列标准之一的事项：</w:t>
      </w:r>
    </w:p>
    <w:p>
      <w:pPr>
        <w:spacing w:line="460" w:lineRule="exact"/>
        <w:ind w:firstLine="480" w:firstLineChars="200"/>
        <w:rPr>
          <w:rFonts w:eastAsia="宋体"/>
          <w:i/>
          <w:iCs/>
          <w:snapToGrid w:val="0"/>
          <w:spacing w:val="0"/>
          <w:sz w:val="24"/>
        </w:rPr>
      </w:pPr>
      <w:r>
        <w:rPr>
          <w:rFonts w:hint="eastAsia" w:eastAsia="宋体"/>
          <w:snapToGrid w:val="0"/>
          <w:spacing w:val="0"/>
          <w:sz w:val="24"/>
        </w:rPr>
        <w:t>1、</w:t>
      </w:r>
      <w:r>
        <w:rPr>
          <w:rFonts w:hint="eastAsia" w:eastAsia="宋体"/>
          <w:sz w:val="24"/>
        </w:rPr>
        <w:t>交易涉及的资产总额占公司最近一期经审计总资产的百分之五十以上，该交易涉及的资产总额同时存在账面值和评估值的，以高者为准；</w:t>
      </w:r>
    </w:p>
    <w:p>
      <w:pPr>
        <w:spacing w:line="460" w:lineRule="exact"/>
        <w:ind w:firstLine="480" w:firstLineChars="200"/>
        <w:rPr>
          <w:rFonts w:eastAsia="宋体"/>
          <w:i/>
          <w:iCs/>
          <w:snapToGrid w:val="0"/>
          <w:spacing w:val="0"/>
          <w:sz w:val="24"/>
        </w:rPr>
      </w:pPr>
      <w:r>
        <w:rPr>
          <w:rFonts w:hint="eastAsia" w:eastAsia="宋体"/>
          <w:snapToGrid w:val="0"/>
          <w:spacing w:val="0"/>
          <w:sz w:val="24"/>
        </w:rPr>
        <w:t>2、交易标的（如股权）在最近一个会计年度相关的营业收入占公司最近一个会计年度经审计营业收入的百分之五十以上，且绝对金额超过五千万元；</w:t>
      </w:r>
    </w:p>
    <w:p>
      <w:pPr>
        <w:spacing w:line="460" w:lineRule="exact"/>
        <w:ind w:firstLine="480" w:firstLineChars="200"/>
        <w:rPr>
          <w:rFonts w:eastAsia="宋体"/>
          <w:snapToGrid w:val="0"/>
          <w:spacing w:val="0"/>
          <w:sz w:val="24"/>
        </w:rPr>
      </w:pPr>
      <w:r>
        <w:rPr>
          <w:rFonts w:hint="eastAsia" w:eastAsia="宋体"/>
          <w:snapToGrid w:val="0"/>
          <w:spacing w:val="0"/>
          <w:sz w:val="24"/>
        </w:rPr>
        <w:t>3、交易标的（如股权）在最近一个会计年度相关的净利润占公司最近一个会计年度经审计净利润的百分之五十以上，且绝对金额超过五百万元；</w:t>
      </w:r>
    </w:p>
    <w:p>
      <w:pPr>
        <w:spacing w:line="460" w:lineRule="exact"/>
        <w:ind w:firstLine="480" w:firstLineChars="200"/>
        <w:rPr>
          <w:rFonts w:eastAsia="宋体"/>
          <w:i/>
          <w:iCs/>
          <w:snapToGrid w:val="0"/>
          <w:spacing w:val="0"/>
          <w:sz w:val="24"/>
        </w:rPr>
      </w:pPr>
      <w:r>
        <w:rPr>
          <w:rFonts w:hint="eastAsia" w:eastAsia="宋体"/>
          <w:snapToGrid w:val="0"/>
          <w:spacing w:val="0"/>
          <w:sz w:val="24"/>
        </w:rPr>
        <w:t>4、交易的成交金额（含承担债务和费用）占公司最近一期经审计净资产的百分之五十以上，且绝对金额超过五千万元；</w:t>
      </w:r>
    </w:p>
    <w:p>
      <w:pPr>
        <w:spacing w:line="460" w:lineRule="exact"/>
        <w:ind w:firstLine="480" w:firstLineChars="200"/>
        <w:rPr>
          <w:rFonts w:eastAsia="宋体"/>
          <w:snapToGrid w:val="0"/>
          <w:spacing w:val="0"/>
          <w:sz w:val="24"/>
        </w:rPr>
      </w:pPr>
      <w:r>
        <w:rPr>
          <w:rFonts w:hint="eastAsia" w:eastAsia="宋体"/>
          <w:snapToGrid w:val="0"/>
          <w:spacing w:val="0"/>
          <w:sz w:val="24"/>
        </w:rPr>
        <w:t>5、交易产生的利润占公司最近一个会计年度经审计净利润的百分之五十以上，且绝对金额超过五百万元；</w:t>
      </w:r>
    </w:p>
    <w:p>
      <w:pPr>
        <w:spacing w:line="460" w:lineRule="exact"/>
        <w:ind w:firstLine="480" w:firstLineChars="200"/>
        <w:rPr>
          <w:rFonts w:eastAsia="宋体"/>
          <w:snapToGrid w:val="0"/>
          <w:spacing w:val="0"/>
          <w:sz w:val="24"/>
        </w:rPr>
      </w:pPr>
      <w:r>
        <w:rPr>
          <w:rFonts w:hint="eastAsia" w:eastAsia="宋体"/>
          <w:snapToGrid w:val="0"/>
          <w:spacing w:val="0"/>
          <w:sz w:val="24"/>
        </w:rPr>
        <w:t>上述指标计算中涉及的数据如为负值，取其绝对值计算；</w:t>
      </w:r>
    </w:p>
    <w:p>
      <w:pPr>
        <w:spacing w:line="460" w:lineRule="exact"/>
        <w:ind w:firstLine="480" w:firstLineChars="200"/>
        <w:rPr>
          <w:rFonts w:eastAsia="宋体"/>
          <w:snapToGrid w:val="0"/>
          <w:spacing w:val="0"/>
          <w:sz w:val="24"/>
        </w:rPr>
      </w:pPr>
      <w:r>
        <w:rPr>
          <w:rFonts w:hint="eastAsia" w:eastAsia="宋体"/>
          <w:snapToGrid w:val="0"/>
          <w:spacing w:val="0"/>
          <w:sz w:val="24"/>
        </w:rPr>
        <w:t>（十九）审议公司下列对外提供财务资助事项：</w:t>
      </w:r>
    </w:p>
    <w:p>
      <w:pPr>
        <w:spacing w:line="460" w:lineRule="exact"/>
        <w:ind w:firstLine="480" w:firstLineChars="200"/>
        <w:rPr>
          <w:rFonts w:eastAsia="宋体"/>
          <w:snapToGrid w:val="0"/>
          <w:spacing w:val="0"/>
          <w:sz w:val="24"/>
        </w:rPr>
      </w:pPr>
      <w:r>
        <w:rPr>
          <w:rFonts w:hint="eastAsia" w:eastAsia="宋体"/>
          <w:snapToGrid w:val="0"/>
          <w:spacing w:val="0"/>
          <w:sz w:val="24"/>
        </w:rPr>
        <w:t>1、为资产负债率超过百分之七十的资助对象提供的财务资助；</w:t>
      </w:r>
    </w:p>
    <w:p>
      <w:pPr>
        <w:spacing w:line="460" w:lineRule="exact"/>
        <w:ind w:firstLine="480" w:firstLineChars="200"/>
        <w:rPr>
          <w:rFonts w:eastAsia="宋体"/>
          <w:snapToGrid w:val="0"/>
          <w:spacing w:val="0"/>
          <w:sz w:val="24"/>
        </w:rPr>
      </w:pPr>
      <w:r>
        <w:rPr>
          <w:rFonts w:hint="eastAsia" w:eastAsia="宋体"/>
          <w:snapToGrid w:val="0"/>
          <w:spacing w:val="0"/>
          <w:sz w:val="24"/>
        </w:rPr>
        <w:t>2、单次财务资助金额或者连续十二个月内累计提供财务资助金额超过公司最近一期经审计净资产百分之十；</w:t>
      </w:r>
    </w:p>
    <w:p>
      <w:pPr>
        <w:spacing w:line="460" w:lineRule="exact"/>
        <w:ind w:firstLine="480" w:firstLineChars="200"/>
        <w:rPr>
          <w:rFonts w:eastAsia="宋体"/>
          <w:snapToGrid w:val="0"/>
          <w:spacing w:val="0"/>
          <w:sz w:val="24"/>
        </w:rPr>
      </w:pPr>
      <w:r>
        <w:rPr>
          <w:rFonts w:hint="eastAsia" w:eastAsia="宋体"/>
          <w:snapToGrid w:val="0"/>
          <w:spacing w:val="0"/>
          <w:sz w:val="24"/>
        </w:rPr>
        <w:t>3、证券交易所或者公司章程规定的其他情形。</w:t>
      </w:r>
    </w:p>
    <w:p>
      <w:pPr>
        <w:spacing w:line="460" w:lineRule="exact"/>
        <w:ind w:firstLine="480" w:firstLineChars="200"/>
        <w:rPr>
          <w:rFonts w:eastAsia="宋体"/>
          <w:snapToGrid w:val="0"/>
          <w:spacing w:val="0"/>
          <w:sz w:val="24"/>
        </w:rPr>
      </w:pPr>
      <w:r>
        <w:rPr>
          <w:rFonts w:hint="eastAsia" w:eastAsia="宋体"/>
          <w:snapToGrid w:val="0"/>
          <w:spacing w:val="0"/>
          <w:sz w:val="24"/>
        </w:rPr>
        <w:t>4、公司不得为董事、监事、高级管理人员、控股股东、实际控制人及其控股子公司等关联人提供资金等财务资助。</w:t>
      </w:r>
    </w:p>
    <w:p>
      <w:pPr>
        <w:spacing w:line="460" w:lineRule="exact"/>
        <w:ind w:firstLine="480" w:firstLineChars="200"/>
        <w:rPr>
          <w:rFonts w:eastAsia="宋体"/>
          <w:snapToGrid w:val="0"/>
          <w:spacing w:val="0"/>
          <w:sz w:val="24"/>
        </w:rPr>
      </w:pPr>
      <w:r>
        <w:rPr>
          <w:rFonts w:hint="eastAsia" w:eastAsia="宋体"/>
          <w:snapToGrid w:val="0"/>
          <w:spacing w:val="0"/>
          <w:sz w:val="24"/>
        </w:rPr>
        <w:t>（二十）审议批准变更募集资金用途事项；</w:t>
      </w:r>
    </w:p>
    <w:p>
      <w:pPr>
        <w:spacing w:line="460" w:lineRule="exact"/>
        <w:ind w:firstLine="480" w:firstLineChars="200"/>
        <w:rPr>
          <w:rFonts w:eastAsia="宋体"/>
          <w:snapToGrid w:val="0"/>
          <w:spacing w:val="0"/>
          <w:sz w:val="24"/>
        </w:rPr>
      </w:pPr>
      <w:r>
        <w:rPr>
          <w:rFonts w:hint="eastAsia" w:eastAsia="宋体"/>
          <w:snapToGrid w:val="0"/>
          <w:spacing w:val="0"/>
          <w:sz w:val="24"/>
        </w:rPr>
        <w:t>（二十一）审议股权激励计划；</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（二十二）审议金额在五千万元以上的除股票及衍生品投资、基金投资、期货投资以外的风险投资事项；</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（二十三）审议公司股票及其衍生品投资、基金投资、期货投资等风险投资事项；</w:t>
      </w:r>
    </w:p>
    <w:p>
      <w:pPr>
        <w:spacing w:line="460" w:lineRule="exact"/>
        <w:ind w:firstLine="480" w:firstLineChars="200"/>
        <w:rPr>
          <w:rFonts w:eastAsia="宋体"/>
          <w:snapToGrid w:val="0"/>
          <w:spacing w:val="0"/>
          <w:sz w:val="24"/>
        </w:rPr>
      </w:pPr>
      <w:r>
        <w:rPr>
          <w:rFonts w:hint="eastAsia" w:eastAsia="宋体"/>
          <w:snapToGrid w:val="0"/>
          <w:spacing w:val="0"/>
          <w:sz w:val="24"/>
        </w:rPr>
        <w:t>本章程所称风险投资，包括股票及其衍生品投资、基金投资、期货投资、房地产投资（如公司以房地产为主营业务，则风险投资不包含房地产投资），以上述投资为标的证券投资产品以及证券交易所认定的其他投资行为。但不包含以下情形：</w:t>
      </w:r>
    </w:p>
    <w:p>
      <w:pPr>
        <w:spacing w:line="460" w:lineRule="exact"/>
        <w:ind w:firstLine="480" w:firstLineChars="200"/>
        <w:rPr>
          <w:rFonts w:eastAsia="宋体"/>
          <w:snapToGrid w:val="0"/>
          <w:spacing w:val="0"/>
          <w:sz w:val="24"/>
        </w:rPr>
      </w:pPr>
      <w:r>
        <w:rPr>
          <w:rFonts w:hint="eastAsia" w:eastAsia="宋体"/>
          <w:snapToGrid w:val="0"/>
          <w:spacing w:val="0"/>
          <w:sz w:val="24"/>
        </w:rPr>
        <w:t>1、固定收益类或者承诺保本类的投资行为；</w:t>
      </w:r>
    </w:p>
    <w:p>
      <w:pPr>
        <w:spacing w:line="460" w:lineRule="exact"/>
        <w:ind w:firstLine="480" w:firstLineChars="200"/>
        <w:rPr>
          <w:rFonts w:eastAsia="宋体"/>
          <w:snapToGrid w:val="0"/>
          <w:spacing w:val="0"/>
          <w:sz w:val="24"/>
        </w:rPr>
      </w:pPr>
      <w:r>
        <w:rPr>
          <w:rFonts w:hint="eastAsia" w:eastAsia="宋体"/>
          <w:snapToGrid w:val="0"/>
          <w:spacing w:val="0"/>
          <w:sz w:val="24"/>
        </w:rPr>
        <w:t>2、参与其他上市公司的配股或者行使优先认购权利；</w:t>
      </w:r>
    </w:p>
    <w:p>
      <w:pPr>
        <w:spacing w:line="460" w:lineRule="exact"/>
        <w:ind w:firstLine="480" w:firstLineChars="200"/>
        <w:rPr>
          <w:rFonts w:eastAsia="宋体"/>
          <w:snapToGrid w:val="0"/>
          <w:spacing w:val="0"/>
          <w:sz w:val="24"/>
        </w:rPr>
      </w:pPr>
      <w:r>
        <w:rPr>
          <w:rFonts w:hint="eastAsia" w:eastAsia="宋体"/>
          <w:snapToGrid w:val="0"/>
          <w:spacing w:val="0"/>
          <w:sz w:val="24"/>
        </w:rPr>
        <w:t>3、以战略投资为目的，购买其他上市公司股份超过总股本的</w:t>
      </w:r>
      <w:r>
        <w:rPr>
          <w:rFonts w:hint="eastAsia" w:eastAsia="宋体"/>
          <w:snapToGrid w:val="0"/>
          <w:spacing w:val="0"/>
          <w:sz w:val="24"/>
          <w:lang w:val="en-US" w:eastAsia="zh-CN"/>
        </w:rPr>
        <w:t>百分之十</w:t>
      </w:r>
      <w:r>
        <w:rPr>
          <w:rFonts w:hint="eastAsia" w:eastAsia="宋体"/>
          <w:snapToGrid w:val="0"/>
          <w:spacing w:val="0"/>
          <w:sz w:val="24"/>
        </w:rPr>
        <w:t>，且拟持有三年以上的证券投资；</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4、公司首次公开发行股票并上市前已进行的投资。</w:t>
      </w:r>
    </w:p>
    <w:p>
      <w:pPr>
        <w:spacing w:line="460" w:lineRule="exact"/>
        <w:ind w:firstLine="480" w:firstLineChars="200"/>
        <w:rPr>
          <w:rFonts w:hint="eastAsia" w:eastAsia="宋体"/>
          <w:snapToGrid w:val="0"/>
          <w:spacing w:val="0"/>
          <w:sz w:val="24"/>
          <w:lang w:eastAsia="zh-CN"/>
        </w:rPr>
      </w:pPr>
      <w:r>
        <w:rPr>
          <w:rFonts w:hint="eastAsia" w:eastAsia="宋体"/>
          <w:snapToGrid w:val="0"/>
          <w:spacing w:val="0"/>
          <w:sz w:val="24"/>
        </w:rPr>
        <w:t>（二十</w:t>
      </w:r>
      <w:r>
        <w:rPr>
          <w:rFonts w:hint="eastAsia" w:eastAsia="宋体"/>
          <w:snapToGrid w:val="0"/>
          <w:spacing w:val="0"/>
          <w:sz w:val="24"/>
          <w:lang w:val="en-US" w:eastAsia="zh-CN"/>
        </w:rPr>
        <w:t>四</w:t>
      </w:r>
      <w:r>
        <w:rPr>
          <w:rFonts w:hint="eastAsia" w:eastAsia="宋体"/>
          <w:snapToGrid w:val="0"/>
          <w:spacing w:val="0"/>
          <w:sz w:val="24"/>
        </w:rPr>
        <w:t>）审议法律、行政法规、部门规章或本章程规定应当由股东大会决定的其他事项。</w:t>
      </w:r>
    </w:p>
    <w:p>
      <w:pPr>
        <w:spacing w:line="460" w:lineRule="exact"/>
        <w:ind w:firstLine="480" w:firstLineChars="200"/>
        <w:rPr>
          <w:rFonts w:eastAsia="宋体"/>
          <w:snapToGrid w:val="0"/>
          <w:spacing w:val="0"/>
          <w:sz w:val="24"/>
        </w:rPr>
      </w:pPr>
      <w:r>
        <w:rPr>
          <w:rFonts w:hint="eastAsia" w:eastAsia="宋体"/>
          <w:snapToGrid w:val="0"/>
          <w:spacing w:val="0"/>
          <w:sz w:val="24"/>
        </w:rPr>
        <w:t>上述股东大会的职权不得通过授权的形式由董事会或其他机构和个人代为行使。</w:t>
      </w:r>
    </w:p>
    <w:p>
      <w:pPr>
        <w:numPr>
          <w:ilvl w:val="0"/>
          <w:numId w:val="8"/>
        </w:numPr>
        <w:spacing w:line="460" w:lineRule="exact"/>
        <w:ind w:left="0"/>
        <w:rPr>
          <w:rFonts w:eastAsia="宋体"/>
          <w:snapToGrid w:val="0"/>
          <w:spacing w:val="0"/>
          <w:sz w:val="24"/>
        </w:rPr>
      </w:pPr>
      <w:r>
        <w:rPr>
          <w:rFonts w:eastAsia="宋体"/>
          <w:snapToGrid w:val="0"/>
          <w:spacing w:val="0"/>
          <w:sz w:val="24"/>
        </w:rPr>
        <w:t>公司下列对外担保行为，须经股东大会审议通过。</w:t>
      </w:r>
    </w:p>
    <w:p>
      <w:pPr>
        <w:spacing w:line="460" w:lineRule="exact"/>
        <w:ind w:firstLine="480" w:firstLineChars="200"/>
        <w:rPr>
          <w:rFonts w:eastAsia="宋体"/>
          <w:snapToGrid w:val="0"/>
          <w:spacing w:val="0"/>
          <w:sz w:val="24"/>
        </w:rPr>
      </w:pPr>
      <w:r>
        <w:rPr>
          <w:rFonts w:eastAsia="宋体"/>
          <w:snapToGrid w:val="0"/>
          <w:spacing w:val="0"/>
          <w:sz w:val="24"/>
        </w:rPr>
        <w:t>（一）本公司及本公司控股子公司的对外担保总额</w:t>
      </w:r>
      <w:r>
        <w:rPr>
          <w:rFonts w:hint="eastAsia" w:eastAsia="宋体"/>
          <w:snapToGrid w:val="0"/>
          <w:spacing w:val="0"/>
          <w:sz w:val="24"/>
        </w:rPr>
        <w:t>，</w:t>
      </w:r>
      <w:r>
        <w:rPr>
          <w:rFonts w:eastAsia="宋体"/>
          <w:snapToGrid w:val="0"/>
          <w:spacing w:val="0"/>
          <w:sz w:val="24"/>
        </w:rPr>
        <w:t>达到或超过最近一期经审计净资产的百分之五十以后提供的任何担保；</w:t>
      </w:r>
    </w:p>
    <w:p>
      <w:pPr>
        <w:spacing w:line="460" w:lineRule="exact"/>
        <w:ind w:firstLine="480" w:firstLineChars="200"/>
        <w:rPr>
          <w:rFonts w:eastAsia="宋体"/>
          <w:snapToGrid w:val="0"/>
          <w:spacing w:val="0"/>
          <w:sz w:val="24"/>
        </w:rPr>
      </w:pPr>
      <w:r>
        <w:rPr>
          <w:rFonts w:eastAsia="宋体"/>
          <w:snapToGrid w:val="0"/>
          <w:spacing w:val="0"/>
          <w:sz w:val="24"/>
        </w:rPr>
        <w:t>（二）公司的对外担保总额，达到或超过最近一期经审计总资产的百分之三十以后提供的任何担保；</w:t>
      </w:r>
    </w:p>
    <w:p>
      <w:pPr>
        <w:spacing w:line="460" w:lineRule="exact"/>
        <w:ind w:firstLine="480" w:firstLineChars="200"/>
        <w:rPr>
          <w:rFonts w:eastAsia="宋体"/>
          <w:snapToGrid w:val="0"/>
          <w:spacing w:val="0"/>
          <w:sz w:val="24"/>
        </w:rPr>
      </w:pPr>
      <w:r>
        <w:rPr>
          <w:rFonts w:eastAsia="宋体"/>
          <w:snapToGrid w:val="0"/>
          <w:spacing w:val="0"/>
          <w:sz w:val="24"/>
        </w:rPr>
        <w:t>（三）为资产负债率超过百分之七十的担保对象提供的担保；</w:t>
      </w:r>
    </w:p>
    <w:p>
      <w:pPr>
        <w:spacing w:line="460" w:lineRule="exact"/>
        <w:ind w:firstLine="480" w:firstLineChars="200"/>
        <w:rPr>
          <w:rFonts w:eastAsia="宋体"/>
          <w:snapToGrid w:val="0"/>
          <w:spacing w:val="0"/>
          <w:sz w:val="24"/>
        </w:rPr>
      </w:pPr>
      <w:r>
        <w:rPr>
          <w:rFonts w:eastAsia="宋体"/>
          <w:snapToGrid w:val="0"/>
          <w:spacing w:val="0"/>
          <w:sz w:val="24"/>
        </w:rPr>
        <w:t>（四）单笔担保额超过最近一期经审计净资产百分之十的担保；</w:t>
      </w:r>
    </w:p>
    <w:p>
      <w:pPr>
        <w:spacing w:line="460" w:lineRule="exact"/>
        <w:ind w:firstLine="480" w:firstLineChars="200"/>
        <w:rPr>
          <w:rFonts w:eastAsia="宋体"/>
          <w:snapToGrid w:val="0"/>
          <w:spacing w:val="0"/>
          <w:sz w:val="24"/>
        </w:rPr>
      </w:pPr>
      <w:r>
        <w:rPr>
          <w:rFonts w:eastAsia="宋体"/>
          <w:snapToGrid w:val="0"/>
          <w:spacing w:val="0"/>
          <w:sz w:val="24"/>
        </w:rPr>
        <w:t>（五）对股东、实际控制人及其关联方提供的担保</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hint="eastAsia" w:eastAsia="宋体"/>
          <w:snapToGrid w:val="0"/>
          <w:spacing w:val="0"/>
          <w:sz w:val="24"/>
        </w:rPr>
        <w:t>（六）连续十二个月内担保金额超过公司最近一期经审计总资产的百分之三十；</w:t>
      </w:r>
    </w:p>
    <w:p>
      <w:pPr>
        <w:spacing w:line="460" w:lineRule="exact"/>
        <w:ind w:firstLine="480" w:firstLineChars="200"/>
        <w:rPr>
          <w:rFonts w:eastAsia="宋体"/>
          <w:snapToGrid w:val="0"/>
          <w:spacing w:val="0"/>
          <w:sz w:val="24"/>
        </w:rPr>
      </w:pPr>
      <w:r>
        <w:rPr>
          <w:rFonts w:hint="eastAsia" w:eastAsia="宋体"/>
          <w:snapToGrid w:val="0"/>
          <w:spacing w:val="0"/>
          <w:sz w:val="24"/>
        </w:rPr>
        <w:t>（七）连续十二个月内担保金额超过公司最近一期经审计净资产的百分之五十，且绝对金额超过五千万元；</w:t>
      </w:r>
    </w:p>
    <w:p>
      <w:pPr>
        <w:spacing w:line="460" w:lineRule="exact"/>
        <w:ind w:firstLine="480" w:firstLineChars="200"/>
        <w:rPr>
          <w:rFonts w:eastAsia="宋体"/>
          <w:snapToGrid w:val="0"/>
          <w:spacing w:val="0"/>
          <w:sz w:val="24"/>
        </w:rPr>
      </w:pPr>
      <w:r>
        <w:rPr>
          <w:rFonts w:hint="eastAsia" w:eastAsia="宋体"/>
          <w:snapToGrid w:val="0"/>
          <w:spacing w:val="0"/>
          <w:sz w:val="24"/>
        </w:rPr>
        <w:t>（八）证券交易所或本章程规定的其他担保情形。</w:t>
      </w:r>
    </w:p>
    <w:p>
      <w:pPr>
        <w:spacing w:line="460" w:lineRule="exact"/>
        <w:ind w:firstLine="480" w:firstLineChars="200"/>
        <w:rPr>
          <w:rFonts w:eastAsia="宋体"/>
          <w:snapToGrid w:val="0"/>
          <w:spacing w:val="0"/>
          <w:sz w:val="24"/>
        </w:rPr>
      </w:pPr>
      <w:r>
        <w:rPr>
          <w:rFonts w:hint="eastAsia" w:eastAsia="宋体"/>
          <w:snapToGrid w:val="0"/>
          <w:spacing w:val="0"/>
          <w:sz w:val="24"/>
        </w:rPr>
        <w:t>董事会审议对外担保事项时，必须经出席董事会会议的三分之二以上董事同意并经全体独立董事三分之二以上同意。股东大会审议前款第（六）项担保事项时，应经出席会议的股东所持表决权的三分之二以上通过。</w:t>
      </w:r>
    </w:p>
    <w:p>
      <w:pPr>
        <w:spacing w:line="460" w:lineRule="exact"/>
        <w:ind w:firstLine="480" w:firstLineChars="200"/>
        <w:rPr>
          <w:rFonts w:eastAsia="宋体"/>
          <w:snapToGrid w:val="0"/>
          <w:spacing w:val="0"/>
          <w:sz w:val="24"/>
        </w:rPr>
      </w:pPr>
      <w:r>
        <w:rPr>
          <w:rFonts w:hint="eastAsia" w:eastAsia="宋体"/>
          <w:snapToGrid w:val="0"/>
          <w:spacing w:val="0"/>
          <w:sz w:val="24"/>
        </w:rPr>
        <w:t>股东大会在审议为股东、实际控制人及其关联人提供的担保议案时，该股东或受该实际控制人支配的股东，不得参与该项表决，该项表决须经出席股东大会的其他股东所持表决权的半数以上通过。</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股东大会分为年度股东大会和临时股东大会。年度股东大会每年召开一次，应当于上一会计年度结束后的六个月内举行。</w:t>
      </w:r>
    </w:p>
    <w:p>
      <w:pPr>
        <w:numPr>
          <w:ilvl w:val="0"/>
          <w:numId w:val="8"/>
        </w:numPr>
        <w:tabs>
          <w:tab w:val="left" w:pos="2100"/>
          <w:tab w:val="clear" w:pos="1605"/>
        </w:tabs>
        <w:spacing w:line="460" w:lineRule="exact"/>
        <w:rPr>
          <w:rFonts w:eastAsia="宋体"/>
          <w:snapToGrid w:val="0"/>
          <w:spacing w:val="0"/>
          <w:sz w:val="24"/>
        </w:rPr>
      </w:pPr>
      <w:r>
        <w:rPr>
          <w:rFonts w:eastAsia="宋体"/>
          <w:snapToGrid w:val="0"/>
          <w:spacing w:val="0"/>
          <w:sz w:val="24"/>
        </w:rPr>
        <w:t>有下列情形之一的，公司在事实发生之日起二个月以内召开临时股东大会：</w:t>
      </w:r>
    </w:p>
    <w:p>
      <w:pPr>
        <w:spacing w:line="460" w:lineRule="exact"/>
        <w:ind w:firstLine="480" w:firstLineChars="200"/>
        <w:rPr>
          <w:rFonts w:eastAsia="宋体"/>
          <w:snapToGrid w:val="0"/>
          <w:spacing w:val="0"/>
          <w:sz w:val="24"/>
        </w:rPr>
      </w:pPr>
      <w:r>
        <w:rPr>
          <w:rFonts w:eastAsia="宋体"/>
          <w:snapToGrid w:val="0"/>
          <w:spacing w:val="0"/>
          <w:sz w:val="24"/>
        </w:rPr>
        <w:t>（一）董事人数不足《公司法》规定人数</w:t>
      </w:r>
      <w:r>
        <w:rPr>
          <w:rFonts w:hint="eastAsia" w:eastAsia="宋体"/>
          <w:snapToGrid w:val="0"/>
          <w:spacing w:val="0"/>
          <w:sz w:val="24"/>
        </w:rPr>
        <w:t>或本章程所定人数的三分之二时</w:t>
      </w:r>
      <w:r>
        <w:rPr>
          <w:rFonts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（二）公司未弥补的亏损达实收股本总额三分之一时；</w:t>
      </w:r>
    </w:p>
    <w:p>
      <w:pPr>
        <w:spacing w:line="460" w:lineRule="exact"/>
        <w:ind w:firstLine="480" w:firstLineChars="200"/>
        <w:rPr>
          <w:rFonts w:eastAsia="宋体"/>
          <w:snapToGrid w:val="0"/>
          <w:spacing w:val="0"/>
          <w:sz w:val="24"/>
        </w:rPr>
      </w:pPr>
      <w:r>
        <w:rPr>
          <w:rFonts w:eastAsia="宋体"/>
          <w:snapToGrid w:val="0"/>
          <w:spacing w:val="0"/>
          <w:sz w:val="24"/>
        </w:rPr>
        <w:t>（三）单独或者合计持有公司百分之十以上股份的股东请求时；</w:t>
      </w:r>
    </w:p>
    <w:p>
      <w:pPr>
        <w:spacing w:line="460" w:lineRule="exact"/>
        <w:ind w:firstLine="480" w:firstLineChars="200"/>
        <w:rPr>
          <w:rFonts w:eastAsia="宋体"/>
          <w:snapToGrid w:val="0"/>
          <w:spacing w:val="0"/>
          <w:sz w:val="24"/>
        </w:rPr>
      </w:pPr>
      <w:r>
        <w:rPr>
          <w:rFonts w:eastAsia="宋体"/>
          <w:snapToGrid w:val="0"/>
          <w:spacing w:val="0"/>
          <w:sz w:val="24"/>
        </w:rPr>
        <w:t>（四）董事会认为必要时；</w:t>
      </w:r>
    </w:p>
    <w:p>
      <w:pPr>
        <w:spacing w:line="460" w:lineRule="exact"/>
        <w:ind w:firstLine="480" w:firstLineChars="200"/>
        <w:rPr>
          <w:rFonts w:eastAsia="宋体"/>
          <w:snapToGrid w:val="0"/>
          <w:spacing w:val="0"/>
          <w:sz w:val="24"/>
        </w:rPr>
      </w:pPr>
      <w:r>
        <w:rPr>
          <w:rFonts w:eastAsia="宋体"/>
          <w:snapToGrid w:val="0"/>
          <w:spacing w:val="0"/>
          <w:sz w:val="24"/>
        </w:rPr>
        <w:t>（五）监事会提议召开时；</w:t>
      </w:r>
    </w:p>
    <w:p>
      <w:pPr>
        <w:spacing w:line="460" w:lineRule="exact"/>
        <w:ind w:firstLine="480" w:firstLineChars="200"/>
        <w:rPr>
          <w:rFonts w:eastAsia="宋体"/>
          <w:snapToGrid w:val="0"/>
          <w:spacing w:val="0"/>
          <w:sz w:val="24"/>
        </w:rPr>
      </w:pPr>
      <w:r>
        <w:rPr>
          <w:rFonts w:eastAsia="宋体"/>
          <w:snapToGrid w:val="0"/>
          <w:spacing w:val="0"/>
          <w:sz w:val="24"/>
        </w:rPr>
        <w:t>（六）法律、行政法规、部门规章或本章程规定的其他情形。</w:t>
      </w:r>
    </w:p>
    <w:p>
      <w:pPr>
        <w:numPr>
          <w:ilvl w:val="0"/>
          <w:numId w:val="8"/>
        </w:numPr>
        <w:tabs>
          <w:tab w:val="left" w:pos="2100"/>
          <w:tab w:val="clear" w:pos="1605"/>
        </w:tabs>
        <w:spacing w:line="460" w:lineRule="exact"/>
        <w:ind w:left="-16" w:firstLine="442"/>
        <w:rPr>
          <w:rFonts w:eastAsia="宋体"/>
          <w:snapToGrid w:val="0"/>
          <w:spacing w:val="0"/>
          <w:sz w:val="24"/>
        </w:rPr>
      </w:pPr>
      <w:bookmarkStart w:id="61" w:name="_Toc203475060"/>
      <w:bookmarkStart w:id="62" w:name="_Toc422141924"/>
      <w:bookmarkStart w:id="63" w:name="_Toc22490"/>
      <w:r>
        <w:rPr>
          <w:rFonts w:hint="eastAsia" w:eastAsia="宋体"/>
          <w:snapToGrid w:val="0"/>
          <w:spacing w:val="0"/>
          <w:sz w:val="24"/>
        </w:rPr>
        <w:t>公司召开股东大会的地点为：公司住所地或会议通知指定的地点。</w:t>
      </w:r>
    </w:p>
    <w:p>
      <w:pPr>
        <w:numPr>
          <w:ilvl w:val="255"/>
          <w:numId w:val="0"/>
        </w:numPr>
        <w:spacing w:line="460" w:lineRule="exact"/>
        <w:ind w:firstLine="480" w:firstLineChars="200"/>
        <w:rPr>
          <w:rFonts w:eastAsia="宋体"/>
          <w:snapToGrid w:val="0"/>
          <w:spacing w:val="0"/>
          <w:sz w:val="24"/>
        </w:rPr>
      </w:pPr>
      <w:r>
        <w:rPr>
          <w:rFonts w:hint="eastAsia" w:eastAsia="宋体"/>
          <w:snapToGrid w:val="0"/>
          <w:spacing w:val="0"/>
          <w:sz w:val="24"/>
        </w:rPr>
        <w:t>股东大会将设置会场，以现场会议形式召开。公司还将提供网络投票的方式为股东参加股东大会提供便利。股东通过上述方式参加股东大会的，视为出席。</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公司召开股东大会时应当聘请律师对以下问题出具法律意见并公告：</w:t>
      </w:r>
    </w:p>
    <w:p>
      <w:pPr>
        <w:pStyle w:val="40"/>
        <w:numPr>
          <w:ilvl w:val="0"/>
          <w:numId w:val="9"/>
        </w:numPr>
        <w:spacing w:line="460" w:lineRule="exact"/>
        <w:ind w:firstLineChars="0"/>
        <w:rPr>
          <w:rFonts w:eastAsia="宋体"/>
          <w:snapToGrid w:val="0"/>
          <w:spacing w:val="0"/>
          <w:sz w:val="24"/>
        </w:rPr>
      </w:pPr>
      <w:r>
        <w:rPr>
          <w:rFonts w:hint="eastAsia" w:eastAsia="宋体"/>
          <w:snapToGrid w:val="0"/>
          <w:spacing w:val="0"/>
          <w:sz w:val="24"/>
        </w:rPr>
        <w:t>会议的召集、召开程序是否符合法律、行政法规、本章程；</w:t>
      </w:r>
    </w:p>
    <w:p>
      <w:pPr>
        <w:pStyle w:val="40"/>
        <w:numPr>
          <w:ilvl w:val="0"/>
          <w:numId w:val="9"/>
        </w:numPr>
        <w:spacing w:line="460" w:lineRule="exact"/>
        <w:ind w:firstLineChars="0"/>
        <w:rPr>
          <w:rFonts w:eastAsia="宋体"/>
          <w:snapToGrid w:val="0"/>
          <w:spacing w:val="0"/>
          <w:sz w:val="24"/>
        </w:rPr>
      </w:pPr>
      <w:r>
        <w:rPr>
          <w:rFonts w:hint="eastAsia" w:eastAsia="宋体"/>
          <w:snapToGrid w:val="0"/>
          <w:spacing w:val="0"/>
          <w:sz w:val="24"/>
        </w:rPr>
        <w:t>出席会议人员的资格、召集人资格是否合法有效；</w:t>
      </w:r>
    </w:p>
    <w:p>
      <w:pPr>
        <w:pStyle w:val="40"/>
        <w:numPr>
          <w:ilvl w:val="0"/>
          <w:numId w:val="9"/>
        </w:numPr>
        <w:spacing w:line="460" w:lineRule="exact"/>
        <w:ind w:firstLineChars="0"/>
        <w:rPr>
          <w:rFonts w:eastAsia="宋体"/>
          <w:snapToGrid w:val="0"/>
          <w:spacing w:val="0"/>
          <w:sz w:val="24"/>
        </w:rPr>
      </w:pPr>
      <w:r>
        <w:rPr>
          <w:rFonts w:hint="eastAsia" w:eastAsia="宋体"/>
          <w:snapToGrid w:val="0"/>
          <w:spacing w:val="0"/>
          <w:sz w:val="24"/>
        </w:rPr>
        <w:t>会议的表决程序、表决结果是否合法有效；</w:t>
      </w:r>
    </w:p>
    <w:p>
      <w:pPr>
        <w:spacing w:line="460" w:lineRule="exact"/>
        <w:ind w:left="384"/>
        <w:rPr>
          <w:rFonts w:eastAsia="宋体"/>
          <w:snapToGrid w:val="0"/>
          <w:spacing w:val="0"/>
          <w:sz w:val="24"/>
        </w:rPr>
      </w:pPr>
      <w:r>
        <w:rPr>
          <w:rFonts w:hint="eastAsia" w:eastAsia="宋体"/>
          <w:snapToGrid w:val="0"/>
          <w:spacing w:val="0"/>
          <w:sz w:val="24"/>
        </w:rPr>
        <w:t>（四）应公司要求对其他有关问题出具的法律意见。</w:t>
      </w:r>
    </w:p>
    <w:p>
      <w:pPr>
        <w:pStyle w:val="32"/>
        <w:numPr>
          <w:ilvl w:val="0"/>
          <w:numId w:val="0"/>
        </w:numPr>
        <w:spacing w:before="120" w:after="0" w:line="460" w:lineRule="exact"/>
        <w:rPr>
          <w:rFonts w:eastAsia="宋体"/>
          <w:b/>
          <w:snapToGrid w:val="0"/>
          <w:spacing w:val="0"/>
          <w:sz w:val="24"/>
          <w:szCs w:val="24"/>
        </w:rPr>
      </w:pPr>
      <w:bookmarkStart w:id="64" w:name="_Toc9532"/>
      <w:bookmarkStart w:id="65" w:name="_Toc2011"/>
      <w:bookmarkStart w:id="66" w:name="_Toc511054557"/>
      <w:bookmarkStart w:id="67" w:name="_Toc477"/>
      <w:r>
        <w:rPr>
          <w:rFonts w:eastAsia="宋体"/>
          <w:b/>
          <w:snapToGrid w:val="0"/>
          <w:spacing w:val="0"/>
          <w:sz w:val="24"/>
          <w:szCs w:val="24"/>
        </w:rPr>
        <w:t>第三节  股东大会的召集</w:t>
      </w:r>
      <w:bookmarkEnd w:id="61"/>
      <w:bookmarkEnd w:id="62"/>
      <w:bookmarkEnd w:id="63"/>
      <w:bookmarkEnd w:id="64"/>
      <w:bookmarkEnd w:id="65"/>
      <w:bookmarkEnd w:id="66"/>
      <w:bookmarkEnd w:id="67"/>
    </w:p>
    <w:p>
      <w:pPr>
        <w:numPr>
          <w:ilvl w:val="0"/>
          <w:numId w:val="8"/>
        </w:numPr>
        <w:tabs>
          <w:tab w:val="left" w:pos="2100"/>
          <w:tab w:val="clear" w:pos="1605"/>
        </w:tabs>
        <w:ind w:left="-16" w:firstLine="442"/>
        <w:rPr>
          <w:rFonts w:eastAsia="宋体"/>
          <w:snapToGrid w:val="0"/>
          <w:spacing w:val="0"/>
          <w:sz w:val="24"/>
        </w:rPr>
      </w:pPr>
      <w:r>
        <w:rPr>
          <w:rFonts w:hint="eastAsia" w:eastAsia="宋体"/>
          <w:snapToGrid w:val="0"/>
          <w:spacing w:val="0"/>
          <w:sz w:val="24"/>
        </w:rPr>
        <w:t>独立董事有权向董事会提议召开临时股东大会。对独立董事要求召开临时股东大会的提议，董事会应当根据法律、行政法规和本章程的规定，在收到提议后十日内提出同意或不同意召开临时股东大会的书面反馈意见。</w:t>
      </w:r>
    </w:p>
    <w:p>
      <w:pPr>
        <w:spacing w:line="460" w:lineRule="exact"/>
        <w:rPr>
          <w:rFonts w:eastAsia="宋体"/>
          <w:snapToGrid w:val="0"/>
          <w:spacing w:val="0"/>
          <w:sz w:val="24"/>
        </w:rPr>
      </w:pPr>
      <w:r>
        <w:rPr>
          <w:rFonts w:hint="eastAsia" w:eastAsia="宋体"/>
          <w:snapToGrid w:val="0"/>
          <w:spacing w:val="0"/>
          <w:sz w:val="24"/>
        </w:rPr>
        <w:t xml:space="preserve">    董事会同意召开临时股东大会的，将在作出董事会决议后的五日内发出召开股东大会的通知；董事会不同意召开临时股东大会的，将说明理由并公告。</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监事会有权向董事会提议召开临时股东大会，并应当以书面形式向董事会提出。董事会应当根据法律、行政法规和本章程的规定，在收到提案后十日内提出同意或不同意召开临时股东大会的书面反馈意见。</w:t>
      </w:r>
    </w:p>
    <w:p>
      <w:pPr>
        <w:spacing w:line="460" w:lineRule="exact"/>
        <w:ind w:firstLine="480" w:firstLineChars="200"/>
        <w:rPr>
          <w:rFonts w:eastAsia="宋体"/>
          <w:snapToGrid w:val="0"/>
          <w:spacing w:val="0"/>
          <w:sz w:val="24"/>
        </w:rPr>
      </w:pPr>
      <w:r>
        <w:rPr>
          <w:rFonts w:eastAsia="宋体"/>
          <w:snapToGrid w:val="0"/>
          <w:spacing w:val="0"/>
          <w:sz w:val="24"/>
        </w:rPr>
        <w:t>董事会同意召开临时股东大会的，将在作出董事会决议后的五日内发出召开股东大会的通知，通知中对原提议的变更，应征得监事会的同意。</w:t>
      </w:r>
    </w:p>
    <w:p>
      <w:pPr>
        <w:spacing w:line="460" w:lineRule="exact"/>
        <w:ind w:firstLine="480" w:firstLineChars="200"/>
        <w:rPr>
          <w:rFonts w:eastAsia="宋体"/>
          <w:snapToGrid w:val="0"/>
          <w:spacing w:val="0"/>
          <w:sz w:val="24"/>
        </w:rPr>
      </w:pPr>
      <w:r>
        <w:rPr>
          <w:rFonts w:eastAsia="宋体"/>
          <w:snapToGrid w:val="0"/>
          <w:spacing w:val="0"/>
          <w:sz w:val="24"/>
        </w:rPr>
        <w:t>董事会不同意召开临时股东大会，或者在收到提案后十日内未作出反馈的，视为董事会不能履行或者不履行召集股东大会会议职责，监事会可以自行召集和主持。</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单独或者合计持有公司百分之十以上股份的股东有权向董事会请求召开临时股东大会，并应当以书面形式向董事会提出。董事会应当根据法律、行政法规和本章程的规定，在收到请求后十日内提出同意或不同意召开临时股东大会的书面反馈意见。</w:t>
      </w:r>
    </w:p>
    <w:p>
      <w:pPr>
        <w:spacing w:line="460" w:lineRule="exact"/>
        <w:ind w:firstLine="480" w:firstLineChars="200"/>
        <w:rPr>
          <w:rFonts w:eastAsia="宋体"/>
          <w:snapToGrid w:val="0"/>
          <w:spacing w:val="0"/>
          <w:sz w:val="24"/>
        </w:rPr>
      </w:pPr>
      <w:r>
        <w:rPr>
          <w:rFonts w:eastAsia="宋体"/>
          <w:snapToGrid w:val="0"/>
          <w:spacing w:val="0"/>
          <w:sz w:val="24"/>
        </w:rPr>
        <w:t>董事会同意召开临时股东大会的，应当在作出董事会决议后的五日内发出召开股东大会的通知，通知中对原请求的变更，应当征得相关股东的同意。</w:t>
      </w:r>
    </w:p>
    <w:p>
      <w:pPr>
        <w:spacing w:line="460" w:lineRule="exact"/>
        <w:ind w:firstLine="480" w:firstLineChars="200"/>
        <w:rPr>
          <w:rFonts w:eastAsia="宋体"/>
          <w:snapToGrid w:val="0"/>
          <w:spacing w:val="0"/>
          <w:sz w:val="24"/>
        </w:rPr>
      </w:pPr>
      <w:r>
        <w:rPr>
          <w:rFonts w:eastAsia="宋体"/>
          <w:snapToGrid w:val="0"/>
          <w:spacing w:val="0"/>
          <w:sz w:val="24"/>
        </w:rPr>
        <w:t>董事会不同意召开临时股东大会，或者在收到请求后十日内未作出反馈的，单独或者合计持有公司百分之十以上股份的股东有权向监事会提议召开临时股东大会，并应当以书面形式向监事会提出请求。</w:t>
      </w:r>
    </w:p>
    <w:p>
      <w:pPr>
        <w:spacing w:line="460" w:lineRule="exact"/>
        <w:ind w:firstLine="480" w:firstLineChars="200"/>
        <w:rPr>
          <w:rFonts w:eastAsia="宋体"/>
          <w:snapToGrid w:val="0"/>
          <w:spacing w:val="0"/>
          <w:sz w:val="24"/>
        </w:rPr>
      </w:pPr>
      <w:r>
        <w:rPr>
          <w:rFonts w:eastAsia="宋体"/>
          <w:snapToGrid w:val="0"/>
          <w:spacing w:val="0"/>
          <w:sz w:val="24"/>
        </w:rPr>
        <w:t>监事会同意召开临时股东大会的，应在收到请求五日内发出召开股东大会的通知，通知中对原提案的变更，应当征得相关股东的同意。</w:t>
      </w:r>
    </w:p>
    <w:p>
      <w:pPr>
        <w:spacing w:line="460" w:lineRule="exact"/>
        <w:ind w:firstLine="480" w:firstLineChars="200"/>
        <w:rPr>
          <w:rFonts w:eastAsia="宋体"/>
          <w:snapToGrid w:val="0"/>
          <w:spacing w:val="0"/>
          <w:sz w:val="24"/>
        </w:rPr>
      </w:pPr>
      <w:r>
        <w:rPr>
          <w:rFonts w:eastAsia="宋体"/>
          <w:snapToGrid w:val="0"/>
          <w:spacing w:val="0"/>
          <w:sz w:val="24"/>
        </w:rPr>
        <w:t>监事会未在规定期限内发出股东大会通知的，视为监事会不召集和主持股东大会，连续九十日以上单独或者合计持有公司百分之十以上股份的股东可以自行召集和主持。</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监事会或股东决定自行召集股东大会的，须书面通知董事会</w:t>
      </w:r>
      <w:r>
        <w:rPr>
          <w:rFonts w:hint="eastAsia" w:eastAsia="宋体"/>
          <w:snapToGrid w:val="0"/>
          <w:spacing w:val="0"/>
          <w:sz w:val="24"/>
        </w:rPr>
        <w:t>，同时向公司所在地中国证监会派出机构和证券交易所备案。</w:t>
      </w:r>
    </w:p>
    <w:p>
      <w:pPr>
        <w:spacing w:line="460" w:lineRule="exact"/>
        <w:ind w:firstLine="480" w:firstLineChars="200"/>
        <w:rPr>
          <w:rFonts w:eastAsia="宋体"/>
          <w:snapToGrid w:val="0"/>
          <w:spacing w:val="0"/>
          <w:sz w:val="24"/>
        </w:rPr>
      </w:pPr>
      <w:r>
        <w:rPr>
          <w:rFonts w:eastAsia="宋体"/>
          <w:snapToGrid w:val="0"/>
          <w:spacing w:val="0"/>
          <w:sz w:val="24"/>
        </w:rPr>
        <w:t>在股东大会作出决议前，召集股东持股比例不得低于百分之十。</w:t>
      </w:r>
    </w:p>
    <w:p>
      <w:pPr>
        <w:spacing w:line="460" w:lineRule="exact"/>
        <w:ind w:firstLine="480" w:firstLineChars="200"/>
        <w:rPr>
          <w:rFonts w:eastAsia="宋体"/>
          <w:snapToGrid w:val="0"/>
          <w:spacing w:val="0"/>
          <w:sz w:val="24"/>
        </w:rPr>
      </w:pPr>
      <w:r>
        <w:rPr>
          <w:rFonts w:hint="eastAsia" w:eastAsia="宋体"/>
          <w:snapToGrid w:val="0"/>
          <w:spacing w:val="0"/>
          <w:sz w:val="24"/>
        </w:rPr>
        <w:t>召集股东应在发出股东大会通知及股东大会决议公告时，向公司所在地中国证监会派出机构和证券交易所提交有关证明材料。</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对于监事会或股东自行召集的股东大会，董事会和董事会秘书将予配合。董事会应当提供股权登记日的股东名册。</w:t>
      </w:r>
    </w:p>
    <w:p>
      <w:pPr>
        <w:numPr>
          <w:ilvl w:val="0"/>
          <w:numId w:val="8"/>
        </w:numPr>
        <w:tabs>
          <w:tab w:val="left" w:pos="2100"/>
          <w:tab w:val="clear" w:pos="1605"/>
        </w:tabs>
        <w:spacing w:line="460" w:lineRule="exact"/>
        <w:ind w:left="-16" w:firstLine="442"/>
        <w:rPr>
          <w:rFonts w:eastAsia="宋体"/>
          <w:snapToGrid w:val="0"/>
          <w:spacing w:val="0"/>
        </w:rPr>
      </w:pPr>
      <w:r>
        <w:rPr>
          <w:rFonts w:eastAsia="宋体"/>
          <w:snapToGrid w:val="0"/>
          <w:spacing w:val="0"/>
          <w:sz w:val="24"/>
        </w:rPr>
        <w:t>监事会或股东自行召集的股东大会，会议所必需的费用由公司承担。</w:t>
      </w:r>
    </w:p>
    <w:p>
      <w:pPr>
        <w:pStyle w:val="32"/>
        <w:numPr>
          <w:ilvl w:val="0"/>
          <w:numId w:val="0"/>
        </w:numPr>
        <w:spacing w:before="120" w:after="0" w:line="460" w:lineRule="exact"/>
        <w:rPr>
          <w:rFonts w:eastAsia="宋体"/>
          <w:b/>
          <w:snapToGrid w:val="0"/>
          <w:spacing w:val="0"/>
          <w:sz w:val="24"/>
          <w:szCs w:val="24"/>
        </w:rPr>
      </w:pPr>
      <w:bookmarkStart w:id="68" w:name="_Toc511054558"/>
      <w:bookmarkStart w:id="69" w:name="_Toc422141925"/>
      <w:bookmarkStart w:id="70" w:name="_Toc12328"/>
      <w:bookmarkStart w:id="71" w:name="_Toc18770"/>
      <w:bookmarkStart w:id="72" w:name="_Toc203475061"/>
      <w:bookmarkStart w:id="73" w:name="_Toc18321"/>
      <w:bookmarkStart w:id="74" w:name="_Toc20368"/>
      <w:r>
        <w:rPr>
          <w:rFonts w:eastAsia="宋体"/>
          <w:b/>
          <w:snapToGrid w:val="0"/>
          <w:spacing w:val="0"/>
          <w:sz w:val="24"/>
          <w:szCs w:val="24"/>
        </w:rPr>
        <w:t>第四节  股东大会的提案与通知</w:t>
      </w:r>
      <w:bookmarkEnd w:id="68"/>
      <w:bookmarkEnd w:id="69"/>
      <w:bookmarkEnd w:id="70"/>
      <w:bookmarkEnd w:id="71"/>
      <w:bookmarkEnd w:id="72"/>
      <w:bookmarkEnd w:id="73"/>
      <w:bookmarkEnd w:id="74"/>
    </w:p>
    <w:p>
      <w:pPr>
        <w:numPr>
          <w:ilvl w:val="0"/>
          <w:numId w:val="8"/>
        </w:numPr>
        <w:tabs>
          <w:tab w:val="left" w:pos="1310"/>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提案的内容应当属于股东大会职权范围，有明确议题和具体决议事项，并且符合法律、行政法规和本章程的有关规定。</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公司召开股东大会，董事会、监事会以及单独或者合并持有公司百分之三以上股份的股东，有权向公司提出提案。</w:t>
      </w:r>
    </w:p>
    <w:p>
      <w:pPr>
        <w:spacing w:line="460" w:lineRule="exact"/>
        <w:ind w:firstLine="480" w:firstLineChars="200"/>
        <w:rPr>
          <w:rFonts w:eastAsia="宋体"/>
          <w:snapToGrid w:val="0"/>
          <w:spacing w:val="0"/>
          <w:sz w:val="24"/>
        </w:rPr>
      </w:pPr>
      <w:r>
        <w:rPr>
          <w:rFonts w:eastAsia="宋体"/>
          <w:snapToGrid w:val="0"/>
          <w:spacing w:val="0"/>
          <w:sz w:val="24"/>
        </w:rPr>
        <w:t>单独或者合计持有公司百分之三以上股份的股东，可以在股东大会召开十日前提出临时提案并书面提交召集人。召集人应当在收到提案后二日内发出股东大会补充通知</w:t>
      </w:r>
      <w:r>
        <w:rPr>
          <w:rFonts w:hint="eastAsia" w:eastAsia="宋体"/>
          <w:snapToGrid w:val="0"/>
          <w:spacing w:val="0"/>
          <w:sz w:val="24"/>
        </w:rPr>
        <w:t>，公告临时提案内容</w:t>
      </w:r>
      <w:r>
        <w:rPr>
          <w:rFonts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除前款规定的情形外，召集人在发出股东大会通知后，不得修改股东大会通知中已列明的提案或增加新的提案。</w:t>
      </w:r>
    </w:p>
    <w:p>
      <w:pPr>
        <w:spacing w:line="460" w:lineRule="exact"/>
        <w:ind w:firstLine="480" w:firstLineChars="200"/>
        <w:rPr>
          <w:rFonts w:eastAsia="宋体"/>
          <w:snapToGrid w:val="0"/>
          <w:spacing w:val="0"/>
          <w:sz w:val="24"/>
        </w:rPr>
      </w:pPr>
      <w:r>
        <w:rPr>
          <w:rFonts w:eastAsia="宋体"/>
          <w:snapToGrid w:val="0"/>
          <w:spacing w:val="0"/>
          <w:sz w:val="24"/>
        </w:rPr>
        <w:t>股东大会通知中未列明或不符合本章程</w:t>
      </w:r>
      <w:r>
        <w:rPr>
          <w:rFonts w:hint="eastAsia" w:eastAsia="宋体"/>
          <w:snapToGrid w:val="0"/>
          <w:spacing w:val="0"/>
          <w:sz w:val="24"/>
        </w:rPr>
        <w:t>第五十二条</w:t>
      </w:r>
      <w:r>
        <w:rPr>
          <w:rFonts w:eastAsia="宋体"/>
          <w:snapToGrid w:val="0"/>
          <w:spacing w:val="0"/>
          <w:sz w:val="24"/>
        </w:rPr>
        <w:t>规定的提案，股东大会不得进行表决并作出决议。</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召集人将在年度股东大会召开二十日前以公告方式通知各股东，临时股东大会将于会议召开十五日前以公告方式通知各股东，并向各股东提供网络形式的投票平台。</w:t>
      </w:r>
    </w:p>
    <w:p>
      <w:pPr>
        <w:spacing w:line="460" w:lineRule="exact"/>
        <w:ind w:left="0" w:leftChars="0" w:firstLine="480" w:firstLineChars="200"/>
        <w:rPr>
          <w:rFonts w:eastAsia="宋体"/>
          <w:snapToGrid w:val="0"/>
          <w:spacing w:val="0"/>
          <w:sz w:val="24"/>
        </w:rPr>
      </w:pPr>
      <w:r>
        <w:rPr>
          <w:rFonts w:hint="eastAsia" w:eastAsia="宋体"/>
          <w:snapToGrid w:val="0"/>
          <w:spacing w:val="0"/>
          <w:sz w:val="24"/>
        </w:rPr>
        <w:t>公司在计算起始期限时，不包括会议召开当日。</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股东大会的通知包括以下内容：</w:t>
      </w:r>
    </w:p>
    <w:p>
      <w:pPr>
        <w:spacing w:line="460" w:lineRule="exact"/>
        <w:ind w:firstLine="480" w:firstLineChars="200"/>
        <w:rPr>
          <w:rFonts w:eastAsia="宋体"/>
          <w:snapToGrid w:val="0"/>
          <w:spacing w:val="0"/>
          <w:sz w:val="24"/>
        </w:rPr>
      </w:pPr>
      <w:r>
        <w:rPr>
          <w:rFonts w:eastAsia="宋体"/>
          <w:snapToGrid w:val="0"/>
          <w:spacing w:val="0"/>
          <w:sz w:val="24"/>
        </w:rPr>
        <w:t>（一）会议的时间、地点和会议期限；</w:t>
      </w:r>
    </w:p>
    <w:p>
      <w:pPr>
        <w:spacing w:line="460" w:lineRule="exact"/>
        <w:ind w:firstLine="480" w:firstLineChars="200"/>
        <w:rPr>
          <w:rFonts w:eastAsia="宋体"/>
          <w:snapToGrid w:val="0"/>
          <w:spacing w:val="0"/>
          <w:sz w:val="24"/>
        </w:rPr>
      </w:pPr>
      <w:r>
        <w:rPr>
          <w:rFonts w:eastAsia="宋体"/>
          <w:snapToGrid w:val="0"/>
          <w:spacing w:val="0"/>
          <w:sz w:val="24"/>
        </w:rPr>
        <w:t>（二）提交会议审议的事项和提案；</w:t>
      </w:r>
    </w:p>
    <w:p>
      <w:pPr>
        <w:spacing w:line="460" w:lineRule="exact"/>
        <w:ind w:firstLine="480" w:firstLineChars="200"/>
        <w:rPr>
          <w:rFonts w:eastAsia="宋体"/>
          <w:snapToGrid w:val="0"/>
          <w:spacing w:val="0"/>
          <w:sz w:val="24"/>
        </w:rPr>
      </w:pPr>
      <w:r>
        <w:rPr>
          <w:rFonts w:eastAsia="宋体"/>
          <w:snapToGrid w:val="0"/>
          <w:spacing w:val="0"/>
          <w:sz w:val="24"/>
        </w:rPr>
        <w:t>（三）以明显的文字说明：全体股东均有权出席股东大会，并可以书面委托代理人出席会议和参加表决，该股东代理人不必是公司的股东；</w:t>
      </w:r>
    </w:p>
    <w:p>
      <w:pPr>
        <w:spacing w:line="460" w:lineRule="exact"/>
        <w:ind w:firstLine="480" w:firstLineChars="200"/>
        <w:rPr>
          <w:rFonts w:eastAsia="宋体"/>
          <w:snapToGrid w:val="0"/>
          <w:spacing w:val="0"/>
          <w:sz w:val="24"/>
        </w:rPr>
      </w:pPr>
      <w:r>
        <w:rPr>
          <w:rFonts w:eastAsia="宋体"/>
          <w:snapToGrid w:val="0"/>
          <w:spacing w:val="0"/>
          <w:sz w:val="24"/>
        </w:rPr>
        <w:t>（四）有权出席股东大会股东的股权登记日；</w:t>
      </w:r>
    </w:p>
    <w:p>
      <w:pPr>
        <w:spacing w:line="460" w:lineRule="exact"/>
        <w:ind w:firstLine="480" w:firstLineChars="200"/>
        <w:rPr>
          <w:rFonts w:eastAsia="宋体"/>
          <w:snapToGrid w:val="0"/>
          <w:spacing w:val="0"/>
          <w:sz w:val="24"/>
        </w:rPr>
      </w:pPr>
      <w:r>
        <w:rPr>
          <w:rFonts w:eastAsia="宋体"/>
          <w:snapToGrid w:val="0"/>
          <w:spacing w:val="0"/>
          <w:sz w:val="24"/>
        </w:rPr>
        <w:t>（五）会务常设联系人姓名，电话号码。</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股东大会拟讨论董事、监事选举事项的，股东大会通知中将充分披露董事、监事候选人的详细资料，至少包括以下内容：</w:t>
      </w:r>
    </w:p>
    <w:p>
      <w:pPr>
        <w:spacing w:line="460" w:lineRule="exact"/>
        <w:ind w:firstLine="480" w:firstLineChars="200"/>
        <w:rPr>
          <w:rFonts w:eastAsia="宋体"/>
          <w:snapToGrid w:val="0"/>
          <w:spacing w:val="0"/>
          <w:sz w:val="24"/>
        </w:rPr>
      </w:pPr>
      <w:r>
        <w:rPr>
          <w:rFonts w:eastAsia="宋体"/>
          <w:snapToGrid w:val="0"/>
          <w:spacing w:val="0"/>
          <w:sz w:val="24"/>
        </w:rPr>
        <w:t>（一）教育背景、工作经历、兼职等个人情况；</w:t>
      </w:r>
    </w:p>
    <w:p>
      <w:pPr>
        <w:spacing w:line="460" w:lineRule="exact"/>
        <w:ind w:firstLine="480" w:firstLineChars="200"/>
        <w:rPr>
          <w:rFonts w:eastAsia="宋体"/>
          <w:snapToGrid w:val="0"/>
          <w:spacing w:val="0"/>
          <w:sz w:val="24"/>
        </w:rPr>
      </w:pPr>
      <w:r>
        <w:rPr>
          <w:rFonts w:eastAsia="宋体"/>
          <w:snapToGrid w:val="0"/>
          <w:spacing w:val="0"/>
          <w:sz w:val="24"/>
        </w:rPr>
        <w:t>（二）与公司或公司的控股股东及实际控制人是否存在关联关系；</w:t>
      </w:r>
    </w:p>
    <w:p>
      <w:pPr>
        <w:spacing w:line="460" w:lineRule="exact"/>
        <w:ind w:firstLine="480" w:firstLineChars="200"/>
        <w:rPr>
          <w:rFonts w:eastAsia="宋体"/>
          <w:snapToGrid w:val="0"/>
          <w:spacing w:val="0"/>
          <w:sz w:val="24"/>
        </w:rPr>
      </w:pPr>
      <w:r>
        <w:rPr>
          <w:rFonts w:eastAsia="宋体"/>
          <w:snapToGrid w:val="0"/>
          <w:spacing w:val="0"/>
          <w:sz w:val="24"/>
        </w:rPr>
        <w:t>（三）披露持有公司股份数量；</w:t>
      </w:r>
    </w:p>
    <w:p>
      <w:pPr>
        <w:spacing w:line="460" w:lineRule="exact"/>
        <w:ind w:firstLine="480" w:firstLineChars="200"/>
        <w:rPr>
          <w:rFonts w:eastAsia="宋体"/>
          <w:snapToGrid w:val="0"/>
          <w:spacing w:val="0"/>
          <w:sz w:val="24"/>
        </w:rPr>
      </w:pPr>
      <w:r>
        <w:rPr>
          <w:rFonts w:eastAsia="宋体"/>
          <w:snapToGrid w:val="0"/>
          <w:spacing w:val="0"/>
          <w:sz w:val="24"/>
        </w:rPr>
        <w:t>（四）是否受过中国证监会及其他有关部门的处罚和证券交易所惩戒。</w:t>
      </w:r>
    </w:p>
    <w:p>
      <w:pPr>
        <w:spacing w:line="460" w:lineRule="exact"/>
        <w:ind w:firstLine="480" w:firstLineChars="200"/>
        <w:rPr>
          <w:rFonts w:eastAsia="宋体"/>
          <w:snapToGrid w:val="0"/>
          <w:spacing w:val="0"/>
          <w:sz w:val="24"/>
        </w:rPr>
      </w:pPr>
      <w:r>
        <w:rPr>
          <w:rFonts w:eastAsia="宋体"/>
          <w:snapToGrid w:val="0"/>
          <w:spacing w:val="0"/>
          <w:sz w:val="24"/>
        </w:rPr>
        <w:t>除采取累积投票制选举董事、监事外，每位董事、监事候选人应当以单项提案提出。</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发出股东大会通知后，无正当理由，股东大会不应延期或取消，股东大会通知中列明的提案不应取消。一旦出现延期或取消的情形，召集人应当在原定召开日前至少二个工作日通知股东并说明原因。</w:t>
      </w:r>
    </w:p>
    <w:p>
      <w:pPr>
        <w:pStyle w:val="32"/>
        <w:numPr>
          <w:ilvl w:val="0"/>
          <w:numId w:val="0"/>
        </w:numPr>
        <w:spacing w:before="120" w:after="0" w:line="460" w:lineRule="exact"/>
        <w:rPr>
          <w:rFonts w:eastAsia="宋体"/>
          <w:b/>
          <w:snapToGrid w:val="0"/>
          <w:spacing w:val="0"/>
          <w:sz w:val="24"/>
          <w:szCs w:val="24"/>
        </w:rPr>
      </w:pPr>
      <w:bookmarkStart w:id="75" w:name="_Toc28924"/>
      <w:bookmarkStart w:id="76" w:name="_Toc19540"/>
      <w:bookmarkStart w:id="77" w:name="_Toc9625"/>
      <w:bookmarkStart w:id="78" w:name="_Toc203475062"/>
      <w:bookmarkStart w:id="79" w:name="_Toc10507"/>
      <w:bookmarkStart w:id="80" w:name="_Toc511054559"/>
      <w:bookmarkStart w:id="81" w:name="_Toc422141926"/>
      <w:r>
        <w:rPr>
          <w:rFonts w:eastAsia="宋体"/>
          <w:b/>
          <w:snapToGrid w:val="0"/>
          <w:spacing w:val="0"/>
          <w:sz w:val="24"/>
          <w:szCs w:val="24"/>
        </w:rPr>
        <w:t>第五节  股东大会的召开</w:t>
      </w:r>
      <w:bookmarkEnd w:id="75"/>
      <w:bookmarkEnd w:id="76"/>
      <w:bookmarkEnd w:id="77"/>
      <w:bookmarkEnd w:id="78"/>
      <w:bookmarkEnd w:id="79"/>
      <w:bookmarkEnd w:id="80"/>
      <w:bookmarkEnd w:id="81"/>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公司董事会和其他召集人将采取必要措施，保证股东大会的正常秩序。对于干扰股东大会、寻衅滋事和侵犯股东合法权益的行为，将采取措施加以制止并及时报告有关部门查处。</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股权登记日登记在册的所有股东或其代理人，均有权出席股东大会。并依照有关法律、法规及本章程行使表决权。</w:t>
      </w:r>
    </w:p>
    <w:p>
      <w:pPr>
        <w:spacing w:line="460" w:lineRule="exact"/>
        <w:ind w:firstLine="480" w:firstLineChars="200"/>
        <w:rPr>
          <w:rFonts w:eastAsia="宋体"/>
          <w:snapToGrid w:val="0"/>
          <w:spacing w:val="0"/>
          <w:sz w:val="24"/>
        </w:rPr>
      </w:pPr>
      <w:r>
        <w:rPr>
          <w:rFonts w:eastAsia="宋体"/>
          <w:snapToGrid w:val="0"/>
          <w:spacing w:val="0"/>
          <w:sz w:val="24"/>
        </w:rPr>
        <w:t>股东可以亲自出席股东大会，也可以委托代理人代为出席和表决。</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个人股东亲自出席会议的，应出示本人身份证或其他能够表明其身份的有效证件或证明、</w:t>
      </w:r>
      <w:r>
        <w:rPr>
          <w:rFonts w:hint="eastAsia" w:eastAsia="宋体"/>
          <w:snapToGrid w:val="0"/>
          <w:spacing w:val="0"/>
          <w:sz w:val="24"/>
        </w:rPr>
        <w:t>持股票账户卡</w:t>
      </w:r>
      <w:r>
        <w:rPr>
          <w:rFonts w:eastAsia="宋体"/>
          <w:snapToGrid w:val="0"/>
          <w:spacing w:val="0"/>
          <w:sz w:val="24"/>
        </w:rPr>
        <w:t>；委托代理他人出席会议的，应出示本人有效身份证件、股东授权委托书。</w:t>
      </w:r>
    </w:p>
    <w:p>
      <w:pPr>
        <w:spacing w:line="460" w:lineRule="exact"/>
        <w:ind w:firstLine="480" w:firstLineChars="200"/>
        <w:rPr>
          <w:rFonts w:eastAsia="宋体"/>
          <w:snapToGrid w:val="0"/>
          <w:spacing w:val="0"/>
          <w:sz w:val="24"/>
        </w:rPr>
      </w:pPr>
      <w:r>
        <w:rPr>
          <w:rFonts w:eastAsia="宋体"/>
          <w:snapToGrid w:val="0"/>
          <w:spacing w:val="0"/>
          <w:sz w:val="24"/>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股东出具的委托他人出席股东大会的授权委托书应当载明下列内容：</w:t>
      </w:r>
    </w:p>
    <w:p>
      <w:pPr>
        <w:spacing w:line="460" w:lineRule="exact"/>
        <w:ind w:firstLine="480" w:firstLineChars="200"/>
        <w:rPr>
          <w:rFonts w:eastAsia="宋体"/>
          <w:snapToGrid w:val="0"/>
          <w:spacing w:val="0"/>
          <w:sz w:val="24"/>
        </w:rPr>
      </w:pPr>
      <w:r>
        <w:rPr>
          <w:rFonts w:eastAsia="宋体"/>
          <w:snapToGrid w:val="0"/>
          <w:spacing w:val="0"/>
          <w:sz w:val="24"/>
        </w:rPr>
        <w:t>（一）代理人的姓名；</w:t>
      </w:r>
    </w:p>
    <w:p>
      <w:pPr>
        <w:spacing w:line="460" w:lineRule="exact"/>
        <w:ind w:firstLine="480" w:firstLineChars="200"/>
        <w:rPr>
          <w:rFonts w:eastAsia="宋体"/>
          <w:snapToGrid w:val="0"/>
          <w:spacing w:val="0"/>
          <w:sz w:val="24"/>
        </w:rPr>
      </w:pPr>
      <w:r>
        <w:rPr>
          <w:rFonts w:eastAsia="宋体"/>
          <w:snapToGrid w:val="0"/>
          <w:spacing w:val="0"/>
          <w:sz w:val="24"/>
        </w:rPr>
        <w:t>（二）是否具有表决权；</w:t>
      </w:r>
    </w:p>
    <w:p>
      <w:pPr>
        <w:spacing w:line="460" w:lineRule="exact"/>
        <w:ind w:firstLine="480" w:firstLineChars="200"/>
        <w:rPr>
          <w:rFonts w:eastAsia="宋体"/>
          <w:snapToGrid w:val="0"/>
          <w:spacing w:val="0"/>
          <w:sz w:val="24"/>
        </w:rPr>
      </w:pPr>
      <w:r>
        <w:rPr>
          <w:rFonts w:eastAsia="宋体"/>
          <w:snapToGrid w:val="0"/>
          <w:spacing w:val="0"/>
          <w:sz w:val="24"/>
        </w:rPr>
        <w:t>（三）分别对列入股东大会议程的每一审议事项投赞成、反对</w:t>
      </w:r>
      <w:r>
        <w:rPr>
          <w:rFonts w:hint="eastAsia" w:eastAsia="宋体"/>
          <w:snapToGrid w:val="0"/>
          <w:spacing w:val="0"/>
          <w:sz w:val="24"/>
        </w:rPr>
        <w:t>、</w:t>
      </w:r>
      <w:r>
        <w:rPr>
          <w:rFonts w:eastAsia="宋体"/>
          <w:snapToGrid w:val="0"/>
          <w:spacing w:val="0"/>
          <w:sz w:val="24"/>
        </w:rPr>
        <w:t>弃权票的指示；</w:t>
      </w:r>
    </w:p>
    <w:p>
      <w:pPr>
        <w:spacing w:line="460" w:lineRule="exact"/>
        <w:ind w:firstLine="480" w:firstLineChars="200"/>
        <w:rPr>
          <w:rFonts w:eastAsia="宋体"/>
          <w:snapToGrid w:val="0"/>
          <w:spacing w:val="0"/>
          <w:sz w:val="24"/>
        </w:rPr>
      </w:pPr>
      <w:r>
        <w:rPr>
          <w:rFonts w:eastAsia="宋体"/>
          <w:snapToGrid w:val="0"/>
          <w:spacing w:val="0"/>
          <w:sz w:val="24"/>
        </w:rPr>
        <w:t>（四）委托书签发日期和有效期限；</w:t>
      </w:r>
    </w:p>
    <w:p>
      <w:pPr>
        <w:spacing w:line="460" w:lineRule="exact"/>
        <w:ind w:firstLine="480" w:firstLineChars="200"/>
        <w:rPr>
          <w:rFonts w:eastAsia="宋体"/>
          <w:snapToGrid w:val="0"/>
          <w:spacing w:val="0"/>
          <w:sz w:val="24"/>
        </w:rPr>
      </w:pPr>
      <w:r>
        <w:rPr>
          <w:rFonts w:eastAsia="宋体"/>
          <w:snapToGrid w:val="0"/>
          <w:spacing w:val="0"/>
          <w:sz w:val="24"/>
        </w:rPr>
        <w:t>（五）委托人签名（或盖章）。委托人为法人股东的，应加盖法人单位印章。</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委托书应当注明如果股东不作具体指示，股东代理人是否可以按自己的意思表决。</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pPr>
        <w:spacing w:line="460" w:lineRule="exact"/>
        <w:ind w:firstLine="480" w:firstLineChars="200"/>
        <w:rPr>
          <w:rFonts w:eastAsia="宋体"/>
          <w:snapToGrid w:val="0"/>
          <w:spacing w:val="0"/>
          <w:sz w:val="24"/>
        </w:rPr>
      </w:pPr>
      <w:r>
        <w:rPr>
          <w:rFonts w:eastAsia="宋体"/>
          <w:snapToGrid w:val="0"/>
          <w:spacing w:val="0"/>
          <w:sz w:val="24"/>
        </w:rPr>
        <w:t>委托人为法人的，由其法定代表人或者董事会、其他决策机构决议授权的人作为代表出席公司的股东大会。</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出席会议人员的会议登记册由公司负责制作。会议登记册载明参加会议人员姓名（或单位名称）、身份证号码、住所地址、持有或者代表有表决权的股份数额、被代理人姓名（或单位名称）等事项。</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股东大会召开时，公司全体董事、监事和董事会秘书应当出席会议，</w:t>
      </w:r>
      <w:r>
        <w:rPr>
          <w:rFonts w:hint="eastAsia" w:eastAsia="宋体"/>
          <w:snapToGrid w:val="0"/>
          <w:spacing w:val="0"/>
          <w:sz w:val="24"/>
        </w:rPr>
        <w:t>总经理</w:t>
      </w:r>
      <w:r>
        <w:rPr>
          <w:rFonts w:eastAsia="宋体"/>
          <w:snapToGrid w:val="0"/>
          <w:spacing w:val="0"/>
          <w:sz w:val="24"/>
        </w:rPr>
        <w:t>和其他高级管理人员应当列席会议。</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股东大会由董事长主持。董事长不能履行职务或不履行职务时，由半数以上董事共同推举的一名董事主持。</w:t>
      </w:r>
    </w:p>
    <w:p>
      <w:pPr>
        <w:spacing w:line="460" w:lineRule="exact"/>
        <w:ind w:firstLine="480" w:firstLineChars="200"/>
        <w:rPr>
          <w:rFonts w:eastAsia="宋体"/>
          <w:snapToGrid w:val="0"/>
          <w:spacing w:val="0"/>
          <w:sz w:val="24"/>
        </w:rPr>
      </w:pPr>
      <w:r>
        <w:rPr>
          <w:rFonts w:eastAsia="宋体"/>
          <w:snapToGrid w:val="0"/>
          <w:spacing w:val="0"/>
          <w:sz w:val="24"/>
        </w:rPr>
        <w:t>监事会自行召集的股东大会，由监事会主席主持。监事会主席不能履行职务或不履行职务时，由半数以上监事共同推举的一名监事主持。</w:t>
      </w:r>
    </w:p>
    <w:p>
      <w:pPr>
        <w:spacing w:line="460" w:lineRule="exact"/>
        <w:ind w:firstLine="480" w:firstLineChars="200"/>
        <w:rPr>
          <w:rFonts w:eastAsia="宋体"/>
          <w:snapToGrid w:val="0"/>
          <w:spacing w:val="0"/>
          <w:sz w:val="24"/>
        </w:rPr>
      </w:pPr>
      <w:r>
        <w:rPr>
          <w:rFonts w:eastAsia="宋体"/>
          <w:snapToGrid w:val="0"/>
          <w:spacing w:val="0"/>
          <w:sz w:val="24"/>
        </w:rPr>
        <w:t>股东自行召集的股东大会，由召集人推举代表主持。</w:t>
      </w:r>
    </w:p>
    <w:p>
      <w:pPr>
        <w:spacing w:line="460" w:lineRule="exact"/>
        <w:ind w:firstLine="480" w:firstLineChars="200"/>
        <w:rPr>
          <w:rFonts w:eastAsia="宋体"/>
          <w:snapToGrid w:val="0"/>
          <w:spacing w:val="0"/>
          <w:sz w:val="24"/>
        </w:rPr>
      </w:pPr>
      <w:r>
        <w:rPr>
          <w:rFonts w:eastAsia="宋体"/>
          <w:snapToGrid w:val="0"/>
          <w:spacing w:val="0"/>
          <w:sz w:val="24"/>
        </w:rPr>
        <w:t>召开股东大会时，会议主持人违反议事规则使股东大会无法继续进行的，经现场出席股东大会有表决权过半数的股东同意，股东大会可推举一人担任会议主持人，继续开会。</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公司制定股东大会议事规则，详细规定股东大会的召开和表决程序，包括通知、登记、提案的审议、投票、计票、表决结果的宣布、会议决议的形成、会议记录及其签署</w:t>
      </w:r>
      <w:r>
        <w:rPr>
          <w:rFonts w:hint="eastAsia" w:eastAsia="宋体"/>
          <w:snapToGrid w:val="0"/>
          <w:spacing w:val="0"/>
          <w:sz w:val="24"/>
        </w:rPr>
        <w:t>、公告</w:t>
      </w:r>
      <w:r>
        <w:rPr>
          <w:rFonts w:eastAsia="宋体"/>
          <w:snapToGrid w:val="0"/>
          <w:spacing w:val="0"/>
          <w:sz w:val="24"/>
        </w:rPr>
        <w:t>等内容，以及股东大会对董事会的授权原则，授权内容应明确具体。</w:t>
      </w:r>
    </w:p>
    <w:p>
      <w:pPr>
        <w:spacing w:line="460" w:lineRule="exact"/>
        <w:rPr>
          <w:rFonts w:eastAsia="宋体"/>
          <w:snapToGrid w:val="0"/>
          <w:spacing w:val="0"/>
          <w:sz w:val="24"/>
        </w:rPr>
      </w:pPr>
      <w:r>
        <w:rPr>
          <w:rFonts w:hint="eastAsia" w:eastAsia="宋体"/>
          <w:snapToGrid w:val="0"/>
          <w:spacing w:val="0"/>
          <w:sz w:val="24"/>
        </w:rPr>
        <w:t xml:space="preserve">    股东大会议事规则应作为章程的附件，由董事会拟定，股东大会批准。</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在年度股东大会上，董事会、监事会应当就其过去一年的工作向股东大会作出报告。</w:t>
      </w:r>
      <w:r>
        <w:rPr>
          <w:rFonts w:hint="eastAsia" w:eastAsia="宋体"/>
          <w:snapToGrid w:val="0"/>
          <w:spacing w:val="0"/>
          <w:sz w:val="24"/>
        </w:rPr>
        <w:t>每位独立董事也应当作出述职报告。</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董事、监事、高级管理人员在股东大会上就股东的质询和建议作出解释和说明。</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会议主持人应当在表决前宣布现场出席会议的股东和代理人人数及所持有表决权的股份总数，现场出席会议的股东和代理人人数及所持有表决权的股份总数以会议登记为准。</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股东大会应有会议记录，由董事会秘书负责。会议记录记载以下内容：</w:t>
      </w:r>
    </w:p>
    <w:p>
      <w:pPr>
        <w:spacing w:line="460" w:lineRule="exact"/>
        <w:ind w:firstLine="480" w:firstLineChars="200"/>
        <w:rPr>
          <w:rFonts w:eastAsia="宋体"/>
          <w:snapToGrid w:val="0"/>
          <w:spacing w:val="0"/>
          <w:sz w:val="24"/>
        </w:rPr>
      </w:pPr>
      <w:r>
        <w:rPr>
          <w:rFonts w:eastAsia="宋体"/>
          <w:snapToGrid w:val="0"/>
          <w:spacing w:val="0"/>
          <w:sz w:val="24"/>
        </w:rPr>
        <w:t>（一）会议时间、地点、议程和召集人姓名或名称；</w:t>
      </w:r>
    </w:p>
    <w:p>
      <w:pPr>
        <w:spacing w:line="460" w:lineRule="exact"/>
        <w:ind w:firstLine="480" w:firstLineChars="200"/>
        <w:rPr>
          <w:rFonts w:eastAsia="宋体"/>
          <w:snapToGrid w:val="0"/>
          <w:spacing w:val="0"/>
          <w:sz w:val="24"/>
        </w:rPr>
      </w:pPr>
      <w:r>
        <w:rPr>
          <w:rFonts w:eastAsia="宋体"/>
          <w:snapToGrid w:val="0"/>
          <w:spacing w:val="0"/>
          <w:sz w:val="24"/>
        </w:rPr>
        <w:t>（二）会议主持人以及出席或列席会议的董事、监事、</w:t>
      </w:r>
      <w:r>
        <w:rPr>
          <w:rFonts w:hint="eastAsia" w:eastAsia="宋体"/>
          <w:snapToGrid w:val="0"/>
          <w:spacing w:val="0"/>
          <w:sz w:val="24"/>
        </w:rPr>
        <w:t>总经理</w:t>
      </w:r>
      <w:r>
        <w:rPr>
          <w:rFonts w:eastAsia="宋体"/>
          <w:snapToGrid w:val="0"/>
          <w:spacing w:val="0"/>
          <w:sz w:val="24"/>
        </w:rPr>
        <w:t>和其他高级管理人员姓名；</w:t>
      </w:r>
    </w:p>
    <w:p>
      <w:pPr>
        <w:spacing w:line="460" w:lineRule="exact"/>
        <w:ind w:firstLine="480" w:firstLineChars="200"/>
        <w:rPr>
          <w:rFonts w:eastAsia="宋体"/>
          <w:snapToGrid w:val="0"/>
          <w:spacing w:val="0"/>
          <w:sz w:val="24"/>
        </w:rPr>
      </w:pPr>
      <w:r>
        <w:rPr>
          <w:rFonts w:eastAsia="宋体"/>
          <w:snapToGrid w:val="0"/>
          <w:spacing w:val="0"/>
          <w:sz w:val="24"/>
        </w:rPr>
        <w:t>（三）出席会议的股东和代理人人数、所持有表决权的股份总数及占公司股份总数的比例；</w:t>
      </w:r>
    </w:p>
    <w:p>
      <w:pPr>
        <w:spacing w:line="460" w:lineRule="exact"/>
        <w:ind w:firstLine="480" w:firstLineChars="200"/>
        <w:rPr>
          <w:rFonts w:eastAsia="宋体"/>
          <w:snapToGrid w:val="0"/>
          <w:spacing w:val="0"/>
          <w:sz w:val="24"/>
        </w:rPr>
      </w:pPr>
      <w:r>
        <w:rPr>
          <w:rFonts w:eastAsia="宋体"/>
          <w:snapToGrid w:val="0"/>
          <w:spacing w:val="0"/>
          <w:sz w:val="24"/>
        </w:rPr>
        <w:t>（四）对每一提案的审议经过、发言要点和表决结果；</w:t>
      </w:r>
    </w:p>
    <w:p>
      <w:pPr>
        <w:spacing w:line="460" w:lineRule="exact"/>
        <w:ind w:firstLine="480" w:firstLineChars="200"/>
        <w:rPr>
          <w:rFonts w:eastAsia="宋体"/>
          <w:snapToGrid w:val="0"/>
          <w:spacing w:val="0"/>
          <w:sz w:val="24"/>
        </w:rPr>
      </w:pPr>
      <w:r>
        <w:rPr>
          <w:rFonts w:eastAsia="宋体"/>
          <w:snapToGrid w:val="0"/>
          <w:spacing w:val="0"/>
          <w:sz w:val="24"/>
        </w:rPr>
        <w:t>（五）股东的质询意见或建议以及相应的答复或说明；</w:t>
      </w:r>
    </w:p>
    <w:p>
      <w:pPr>
        <w:spacing w:line="460" w:lineRule="exact"/>
        <w:ind w:firstLine="480" w:firstLineChars="200"/>
        <w:rPr>
          <w:rFonts w:eastAsia="宋体"/>
          <w:snapToGrid w:val="0"/>
          <w:spacing w:val="0"/>
          <w:sz w:val="24"/>
        </w:rPr>
      </w:pPr>
      <w:r>
        <w:rPr>
          <w:rFonts w:eastAsia="宋体"/>
          <w:snapToGrid w:val="0"/>
          <w:spacing w:val="0"/>
          <w:sz w:val="24"/>
        </w:rPr>
        <w:t>（六）</w:t>
      </w:r>
      <w:r>
        <w:rPr>
          <w:rFonts w:hint="eastAsia" w:eastAsia="宋体"/>
          <w:snapToGrid w:val="0"/>
          <w:spacing w:val="0"/>
          <w:sz w:val="24"/>
        </w:rPr>
        <w:t>律师及</w:t>
      </w:r>
      <w:r>
        <w:rPr>
          <w:rFonts w:eastAsia="宋体"/>
          <w:snapToGrid w:val="0"/>
          <w:spacing w:val="0"/>
          <w:sz w:val="24"/>
        </w:rPr>
        <w:t>计票人、监票人姓名；</w:t>
      </w:r>
    </w:p>
    <w:p>
      <w:pPr>
        <w:spacing w:line="460" w:lineRule="exact"/>
        <w:ind w:firstLine="480" w:firstLineChars="200"/>
        <w:rPr>
          <w:rFonts w:eastAsia="宋体"/>
          <w:snapToGrid w:val="0"/>
          <w:spacing w:val="0"/>
          <w:sz w:val="24"/>
        </w:rPr>
      </w:pPr>
      <w:r>
        <w:rPr>
          <w:rFonts w:eastAsia="宋体"/>
          <w:snapToGrid w:val="0"/>
          <w:spacing w:val="0"/>
          <w:sz w:val="24"/>
        </w:rPr>
        <w:t>（七）本章程规定应当载入会议记录的其他内容。</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召集人应当保证会议记录内容真实、准确和完整。出席会议的董事、监事、董事会秘书、召集人或其代表、会议主持人应当在会议记录上签名。会议记录应当与现场出席股东的签名册及代理出席的委托书</w:t>
      </w:r>
      <w:r>
        <w:rPr>
          <w:rFonts w:hint="eastAsia" w:eastAsia="宋体"/>
          <w:snapToGrid w:val="0"/>
          <w:spacing w:val="0"/>
          <w:sz w:val="24"/>
        </w:rPr>
        <w:t>、网络及其他方式表决情况的有效资料</w:t>
      </w:r>
      <w:r>
        <w:rPr>
          <w:rFonts w:eastAsia="宋体"/>
          <w:snapToGrid w:val="0"/>
          <w:spacing w:val="0"/>
          <w:sz w:val="24"/>
        </w:rPr>
        <w:t>一并保存，保存期限不少于十年。</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召集人应当保证股东大会连续举行，直至形成最终决议。因不可抗力等特殊原因导致股东大会中止或不能作出决议的，应采取必要措施尽快恢复召开股东大会或直接终止本次股东大会</w:t>
      </w:r>
      <w:r>
        <w:rPr>
          <w:rFonts w:hint="eastAsia" w:eastAsia="宋体"/>
          <w:snapToGrid w:val="0"/>
          <w:spacing w:val="0"/>
          <w:sz w:val="24"/>
        </w:rPr>
        <w:t>，并及时公告</w:t>
      </w:r>
      <w:r>
        <w:rPr>
          <w:rFonts w:eastAsia="宋体"/>
          <w:snapToGrid w:val="0"/>
          <w:spacing w:val="0"/>
          <w:sz w:val="24"/>
        </w:rPr>
        <w:t>。</w:t>
      </w:r>
      <w:r>
        <w:rPr>
          <w:rFonts w:hint="eastAsia" w:eastAsia="宋体"/>
          <w:snapToGrid w:val="0"/>
          <w:spacing w:val="0"/>
          <w:sz w:val="24"/>
        </w:rPr>
        <w:t>同时，召集人应向公司所在地中国证监会派出机构及证券交易所报告。</w:t>
      </w:r>
    </w:p>
    <w:p>
      <w:pPr>
        <w:pStyle w:val="32"/>
        <w:numPr>
          <w:ilvl w:val="0"/>
          <w:numId w:val="0"/>
        </w:numPr>
        <w:spacing w:before="120" w:after="0" w:line="460" w:lineRule="exact"/>
        <w:rPr>
          <w:rFonts w:eastAsia="宋体"/>
          <w:b/>
          <w:snapToGrid w:val="0"/>
          <w:spacing w:val="0"/>
          <w:sz w:val="24"/>
          <w:szCs w:val="24"/>
        </w:rPr>
      </w:pPr>
      <w:bookmarkStart w:id="82" w:name="_Toc18786"/>
      <w:bookmarkStart w:id="83" w:name="_Toc29557"/>
      <w:bookmarkStart w:id="84" w:name="_Toc511054560"/>
      <w:bookmarkStart w:id="85" w:name="_Toc13148"/>
      <w:bookmarkStart w:id="86" w:name="_Toc422141927"/>
      <w:bookmarkStart w:id="87" w:name="_Toc17725"/>
      <w:bookmarkStart w:id="88" w:name="_Toc203475063"/>
      <w:r>
        <w:rPr>
          <w:rFonts w:eastAsia="宋体"/>
          <w:b/>
          <w:snapToGrid w:val="0"/>
          <w:spacing w:val="0"/>
          <w:sz w:val="24"/>
          <w:szCs w:val="24"/>
        </w:rPr>
        <w:t>第六节  股东大会的表决和决议</w:t>
      </w:r>
      <w:bookmarkEnd w:id="82"/>
      <w:bookmarkEnd w:id="83"/>
      <w:bookmarkEnd w:id="84"/>
      <w:bookmarkEnd w:id="85"/>
      <w:bookmarkEnd w:id="86"/>
      <w:bookmarkEnd w:id="87"/>
      <w:bookmarkEnd w:id="88"/>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股东大会决议分为普通决议和特别决议。</w:t>
      </w:r>
    </w:p>
    <w:p>
      <w:pPr>
        <w:spacing w:line="460" w:lineRule="exact"/>
        <w:ind w:firstLine="480" w:firstLineChars="200"/>
        <w:rPr>
          <w:rFonts w:eastAsia="宋体"/>
          <w:snapToGrid w:val="0"/>
          <w:spacing w:val="0"/>
          <w:sz w:val="24"/>
        </w:rPr>
      </w:pPr>
      <w:r>
        <w:rPr>
          <w:rFonts w:eastAsia="宋体"/>
          <w:snapToGrid w:val="0"/>
          <w:spacing w:val="0"/>
          <w:sz w:val="24"/>
        </w:rPr>
        <w:t>股东大会作出普通决议，应当由出席股东大会的股东（包括股东代理人）所持表决权的</w:t>
      </w:r>
      <w:r>
        <w:rPr>
          <w:rFonts w:hint="eastAsia" w:eastAsia="宋体"/>
          <w:snapToGrid w:val="0"/>
          <w:spacing w:val="0"/>
          <w:sz w:val="24"/>
        </w:rPr>
        <w:t>过半数</w:t>
      </w:r>
      <w:r>
        <w:rPr>
          <w:rFonts w:eastAsia="宋体"/>
          <w:snapToGrid w:val="0"/>
          <w:spacing w:val="0"/>
          <w:sz w:val="24"/>
        </w:rPr>
        <w:t>通过。</w:t>
      </w:r>
    </w:p>
    <w:p>
      <w:pPr>
        <w:spacing w:line="460" w:lineRule="exact"/>
        <w:ind w:firstLine="480" w:firstLineChars="200"/>
        <w:rPr>
          <w:rFonts w:eastAsia="宋体"/>
          <w:snapToGrid w:val="0"/>
          <w:spacing w:val="0"/>
          <w:sz w:val="24"/>
        </w:rPr>
      </w:pPr>
      <w:r>
        <w:rPr>
          <w:rFonts w:eastAsia="宋体"/>
          <w:snapToGrid w:val="0"/>
          <w:spacing w:val="0"/>
          <w:sz w:val="24"/>
        </w:rPr>
        <w:t>股东大会作出特别决议，应当由出席股东大会的股东（包括股东代理人）所持表决权的三分之二以上通过。</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下列事项由股东大会以普通决议通过：</w:t>
      </w:r>
    </w:p>
    <w:p>
      <w:pPr>
        <w:spacing w:line="460" w:lineRule="exact"/>
        <w:ind w:firstLine="480" w:firstLineChars="200"/>
        <w:rPr>
          <w:rFonts w:eastAsia="宋体"/>
          <w:snapToGrid w:val="0"/>
          <w:spacing w:val="0"/>
          <w:sz w:val="24"/>
        </w:rPr>
      </w:pPr>
      <w:r>
        <w:rPr>
          <w:rFonts w:eastAsia="宋体"/>
          <w:snapToGrid w:val="0"/>
          <w:spacing w:val="0"/>
          <w:sz w:val="24"/>
        </w:rPr>
        <w:t>（一）董事会和监事会的工作报告；</w:t>
      </w:r>
    </w:p>
    <w:p>
      <w:pPr>
        <w:spacing w:line="460" w:lineRule="exact"/>
        <w:ind w:firstLine="480" w:firstLineChars="200"/>
        <w:rPr>
          <w:rFonts w:eastAsia="宋体"/>
          <w:snapToGrid w:val="0"/>
          <w:spacing w:val="0"/>
          <w:sz w:val="24"/>
        </w:rPr>
      </w:pPr>
      <w:r>
        <w:rPr>
          <w:rFonts w:eastAsia="宋体"/>
          <w:snapToGrid w:val="0"/>
          <w:spacing w:val="0"/>
          <w:sz w:val="24"/>
        </w:rPr>
        <w:t>（二）董事会拟定的利润分配方案和弥补亏损方案；</w:t>
      </w:r>
    </w:p>
    <w:p>
      <w:pPr>
        <w:spacing w:line="460" w:lineRule="exact"/>
        <w:ind w:firstLine="480" w:firstLineChars="200"/>
        <w:rPr>
          <w:rFonts w:eastAsia="宋体"/>
          <w:snapToGrid w:val="0"/>
          <w:spacing w:val="0"/>
          <w:sz w:val="24"/>
        </w:rPr>
      </w:pPr>
      <w:r>
        <w:rPr>
          <w:rFonts w:eastAsia="宋体"/>
          <w:snapToGrid w:val="0"/>
          <w:spacing w:val="0"/>
          <w:sz w:val="24"/>
        </w:rPr>
        <w:t>（三）董事会和监事会成员的任免及其报酬和支付方法；</w:t>
      </w:r>
    </w:p>
    <w:p>
      <w:pPr>
        <w:spacing w:line="460" w:lineRule="exact"/>
        <w:ind w:firstLine="480" w:firstLineChars="200"/>
        <w:rPr>
          <w:rFonts w:eastAsia="宋体"/>
          <w:snapToGrid w:val="0"/>
          <w:spacing w:val="0"/>
          <w:sz w:val="24"/>
        </w:rPr>
      </w:pPr>
      <w:r>
        <w:rPr>
          <w:rFonts w:eastAsia="宋体"/>
          <w:snapToGrid w:val="0"/>
          <w:spacing w:val="0"/>
          <w:sz w:val="24"/>
        </w:rPr>
        <w:t>（四）公司年度预算方案、决算方案；</w:t>
      </w:r>
    </w:p>
    <w:p>
      <w:pPr>
        <w:spacing w:line="460" w:lineRule="exact"/>
        <w:ind w:firstLine="480" w:firstLineChars="200"/>
        <w:rPr>
          <w:rFonts w:eastAsia="宋体"/>
          <w:snapToGrid w:val="0"/>
          <w:spacing w:val="0"/>
          <w:sz w:val="24"/>
        </w:rPr>
      </w:pPr>
      <w:r>
        <w:rPr>
          <w:rFonts w:eastAsia="宋体"/>
          <w:snapToGrid w:val="0"/>
          <w:spacing w:val="0"/>
          <w:sz w:val="24"/>
        </w:rPr>
        <w:t>（五）公司年度报告；</w:t>
      </w:r>
    </w:p>
    <w:p>
      <w:pPr>
        <w:spacing w:line="460" w:lineRule="exact"/>
        <w:ind w:firstLine="480" w:firstLineChars="200"/>
        <w:rPr>
          <w:rFonts w:eastAsia="宋体"/>
          <w:snapToGrid w:val="0"/>
          <w:spacing w:val="0"/>
          <w:sz w:val="24"/>
        </w:rPr>
      </w:pPr>
      <w:r>
        <w:rPr>
          <w:rFonts w:eastAsia="宋体"/>
          <w:snapToGrid w:val="0"/>
          <w:spacing w:val="0"/>
          <w:sz w:val="24"/>
        </w:rPr>
        <w:t>（六）除法律、行政法规规定或者本章程规定应当以特别决议通过以外的其他事项。</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下列事项由股东大会以特别决议通过：</w:t>
      </w:r>
    </w:p>
    <w:p>
      <w:pPr>
        <w:spacing w:line="460" w:lineRule="exact"/>
        <w:ind w:firstLine="480" w:firstLineChars="200"/>
        <w:rPr>
          <w:rFonts w:eastAsia="宋体"/>
          <w:snapToGrid w:val="0"/>
          <w:spacing w:val="0"/>
          <w:sz w:val="24"/>
        </w:rPr>
      </w:pPr>
      <w:r>
        <w:rPr>
          <w:rFonts w:eastAsia="宋体"/>
          <w:snapToGrid w:val="0"/>
          <w:spacing w:val="0"/>
          <w:sz w:val="24"/>
        </w:rPr>
        <w:t>（一）公司增加或者减少注册资本；</w:t>
      </w:r>
    </w:p>
    <w:p>
      <w:pPr>
        <w:spacing w:line="460" w:lineRule="exact"/>
        <w:ind w:firstLine="480" w:firstLineChars="200"/>
        <w:rPr>
          <w:rFonts w:eastAsia="宋体"/>
          <w:snapToGrid w:val="0"/>
          <w:spacing w:val="0"/>
          <w:sz w:val="24"/>
        </w:rPr>
      </w:pPr>
      <w:r>
        <w:rPr>
          <w:rFonts w:eastAsia="宋体"/>
          <w:snapToGrid w:val="0"/>
          <w:spacing w:val="0"/>
          <w:sz w:val="24"/>
        </w:rPr>
        <w:t>（二）公司的分立、合并、解散</w:t>
      </w:r>
      <w:r>
        <w:rPr>
          <w:rFonts w:hint="eastAsia" w:eastAsia="宋体"/>
          <w:snapToGrid w:val="0"/>
          <w:spacing w:val="0"/>
          <w:sz w:val="24"/>
        </w:rPr>
        <w:t>、</w:t>
      </w:r>
      <w:r>
        <w:rPr>
          <w:rFonts w:eastAsia="宋体"/>
          <w:snapToGrid w:val="0"/>
          <w:spacing w:val="0"/>
          <w:sz w:val="24"/>
        </w:rPr>
        <w:t>清算</w:t>
      </w:r>
      <w:r>
        <w:rPr>
          <w:rFonts w:hint="eastAsia" w:eastAsia="宋体"/>
          <w:snapToGrid w:val="0"/>
          <w:spacing w:val="0"/>
          <w:sz w:val="24"/>
        </w:rPr>
        <w:t>或变更公司形式</w:t>
      </w:r>
      <w:r>
        <w:rPr>
          <w:rFonts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（三）本章程的修改；</w:t>
      </w:r>
    </w:p>
    <w:p>
      <w:pPr>
        <w:spacing w:line="460" w:lineRule="exact"/>
        <w:ind w:firstLine="480" w:firstLineChars="200"/>
        <w:rPr>
          <w:rFonts w:eastAsia="宋体"/>
          <w:snapToGrid w:val="0"/>
          <w:spacing w:val="0"/>
          <w:sz w:val="24"/>
        </w:rPr>
      </w:pPr>
      <w:r>
        <w:rPr>
          <w:rFonts w:eastAsia="宋体"/>
          <w:snapToGrid w:val="0"/>
          <w:spacing w:val="0"/>
          <w:sz w:val="24"/>
        </w:rPr>
        <w:t>（四）公司在一年内购买、出售重大资产</w:t>
      </w:r>
      <w:r>
        <w:rPr>
          <w:rFonts w:hint="eastAsia" w:eastAsia="宋体"/>
          <w:snapToGrid w:val="0"/>
          <w:spacing w:val="0"/>
          <w:sz w:val="24"/>
        </w:rPr>
        <w:t>、对外投资或担保金额</w:t>
      </w:r>
      <w:r>
        <w:rPr>
          <w:rFonts w:eastAsia="宋体"/>
          <w:snapToGrid w:val="0"/>
          <w:spacing w:val="0"/>
          <w:sz w:val="24"/>
        </w:rPr>
        <w:t>超过公司最近一期经审计总资产百分之三十的；</w:t>
      </w:r>
    </w:p>
    <w:p>
      <w:pPr>
        <w:spacing w:line="460" w:lineRule="exact"/>
        <w:ind w:firstLine="504" w:firstLineChars="200"/>
        <w:rPr>
          <w:rFonts w:eastAsia="宋体"/>
          <w:snapToGrid w:val="0"/>
          <w:spacing w:val="0"/>
          <w:sz w:val="24"/>
        </w:rPr>
      </w:pPr>
      <w:r>
        <w:rPr>
          <w:rFonts w:hint="eastAsia" w:eastAsia="宋体"/>
          <w:sz w:val="24"/>
        </w:rPr>
        <w:t>（五）</w:t>
      </w:r>
      <w:r>
        <w:rPr>
          <w:rFonts w:eastAsia="宋体"/>
          <w:snapToGrid w:val="0"/>
          <w:spacing w:val="0"/>
          <w:sz w:val="24"/>
        </w:rPr>
        <w:t>股权激励计划；</w:t>
      </w:r>
    </w:p>
    <w:p>
      <w:pPr>
        <w:spacing w:line="460" w:lineRule="exact"/>
        <w:ind w:firstLine="480" w:firstLineChars="200"/>
        <w:rPr>
          <w:rFonts w:eastAsia="宋体"/>
          <w:snapToGrid w:val="0"/>
          <w:spacing w:val="0"/>
          <w:sz w:val="24"/>
        </w:rPr>
      </w:pPr>
      <w:r>
        <w:rPr>
          <w:rFonts w:hint="eastAsia" w:eastAsia="宋体"/>
          <w:snapToGrid w:val="0"/>
          <w:spacing w:val="0"/>
          <w:sz w:val="24"/>
        </w:rPr>
        <w:t>（六）</w:t>
      </w:r>
      <w:r>
        <w:rPr>
          <w:rFonts w:eastAsia="宋体"/>
          <w:snapToGrid w:val="0"/>
          <w:spacing w:val="0"/>
          <w:sz w:val="24"/>
        </w:rPr>
        <w:t>法律、行政法规或本章程规定的，以及股东大会以普通决议认定会对公司产生重大影响的、需要以特别决议通过的其他事项。</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股东（包括股东代理人）以其所代表的有表决权的股份数额行使表决权，每一股份享有一票表决权。</w:t>
      </w:r>
    </w:p>
    <w:p>
      <w:pPr>
        <w:spacing w:line="460" w:lineRule="exact"/>
        <w:ind w:firstLine="480" w:firstLineChars="200"/>
        <w:rPr>
          <w:rFonts w:eastAsia="宋体"/>
          <w:snapToGrid w:val="0"/>
          <w:spacing w:val="0"/>
          <w:sz w:val="24"/>
        </w:rPr>
      </w:pPr>
      <w:r>
        <w:rPr>
          <w:rFonts w:hint="eastAsia" w:eastAsia="宋体"/>
          <w:snapToGrid w:val="0"/>
          <w:spacing w:val="0"/>
          <w:sz w:val="24"/>
        </w:rPr>
        <w:t>股东大会审议影响中小投资者利益的重大事项时，对中小投资者表决应当单独计票。单独计票结果应当及时公开披露。</w:t>
      </w:r>
    </w:p>
    <w:p>
      <w:pPr>
        <w:spacing w:line="460" w:lineRule="exact"/>
        <w:ind w:firstLine="480" w:firstLineChars="200"/>
        <w:rPr>
          <w:rFonts w:eastAsia="宋体"/>
          <w:snapToGrid w:val="0"/>
          <w:spacing w:val="0"/>
          <w:sz w:val="24"/>
        </w:rPr>
      </w:pPr>
      <w:r>
        <w:rPr>
          <w:rFonts w:hint="eastAsia" w:eastAsia="宋体"/>
          <w:snapToGrid w:val="0"/>
          <w:spacing w:val="0"/>
          <w:sz w:val="24"/>
        </w:rPr>
        <w:t>公司持有的本公司股份没有表决权，且该部分股份不计入出席股东大会有表决权的股份总数。</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股东大会审议有关关联交易事项时，关联股东不应当参与投票表决，其所代表的有表决权的股份数不计入有效表决总数；股东大会决议应当</w:t>
      </w:r>
      <w:r>
        <w:rPr>
          <w:rFonts w:hint="eastAsia" w:eastAsia="宋体"/>
          <w:snapToGrid w:val="0"/>
          <w:spacing w:val="0"/>
          <w:sz w:val="24"/>
        </w:rPr>
        <w:t>记录</w:t>
      </w:r>
      <w:r>
        <w:rPr>
          <w:rFonts w:eastAsia="宋体"/>
          <w:snapToGrid w:val="0"/>
          <w:spacing w:val="0"/>
          <w:sz w:val="24"/>
        </w:rPr>
        <w:t>非关联股东的表决情况。</w:t>
      </w:r>
    </w:p>
    <w:p>
      <w:pPr>
        <w:spacing w:line="460" w:lineRule="exact"/>
        <w:ind w:left="160" w:leftChars="61" w:firstLine="403" w:firstLineChars="168"/>
        <w:rPr>
          <w:rFonts w:eastAsia="宋体"/>
          <w:snapToGrid w:val="0"/>
          <w:spacing w:val="0"/>
          <w:sz w:val="24"/>
        </w:rPr>
      </w:pPr>
      <w:r>
        <w:rPr>
          <w:rFonts w:hint="eastAsia" w:eastAsia="宋体"/>
          <w:snapToGrid w:val="0"/>
          <w:spacing w:val="0"/>
          <w:sz w:val="24"/>
        </w:rPr>
        <w:t>股东大会审议有关关联交易事项时，有关联关系的股东应当回避；会议需要关联股东到会进行说明的，关联股东有责任和义务到会如实作出说明。有关联关系的股东回避和不参与投票表决的事项，由会议主持人在会议开始时宣布。</w:t>
      </w:r>
    </w:p>
    <w:p>
      <w:pPr>
        <w:numPr>
          <w:ilvl w:val="0"/>
          <w:numId w:val="8"/>
        </w:numPr>
        <w:tabs>
          <w:tab w:val="left" w:pos="1840"/>
          <w:tab w:val="clear" w:pos="1605"/>
        </w:tabs>
        <w:spacing w:line="460" w:lineRule="exact"/>
        <w:ind w:left="-16" w:firstLine="442"/>
        <w:rPr>
          <w:rFonts w:eastAsia="宋体"/>
          <w:snapToGrid w:val="0"/>
          <w:spacing w:val="0"/>
          <w:sz w:val="24"/>
        </w:rPr>
      </w:pPr>
      <w:r>
        <w:rPr>
          <w:rFonts w:hint="eastAsia" w:eastAsia="宋体"/>
          <w:snapToGrid w:val="0"/>
          <w:spacing w:val="0"/>
          <w:sz w:val="24"/>
        </w:rPr>
        <w:t>公司应在保证股东大会合法、有效的前提下，通过各种方式和途径，包括提供网络形式的投票平台等现代信息技术手段，为股东参加股东大会提供便利。</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除公司处于危机等特殊情况外，非经股东大会以特别决议批准，公司将不与董事、总经理和其它高级管理人员以外的人订立将公司全部或者重要业务的管理交予该人负责的合同。</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董事、监事候选人名单以提案的方式提请股东大会表决。</w:t>
      </w:r>
    </w:p>
    <w:p>
      <w:pPr>
        <w:spacing w:line="460" w:lineRule="exact"/>
        <w:ind w:left="426"/>
        <w:rPr>
          <w:rFonts w:eastAsia="宋体"/>
          <w:snapToGrid w:val="0"/>
          <w:spacing w:val="0"/>
          <w:sz w:val="24"/>
        </w:rPr>
      </w:pPr>
      <w:r>
        <w:rPr>
          <w:rFonts w:hint="eastAsia" w:eastAsia="宋体"/>
          <w:snapToGrid w:val="0"/>
          <w:spacing w:val="0"/>
          <w:sz w:val="24"/>
        </w:rPr>
        <w:t>董事、监事提名的方式和程序为：</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（一）董事会提名委员会、监事会有权向公司董事会推荐非独立董事候选人，并提供非独立董事候选人的简历和基本情况，提交股东大会选举。</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单独或合计持有公司百分之三以上股份的股东可提出非独立董事或非由职工代表担任的监事候选人名单，并提供候选人的简历和基本情况，提交股东大会选举。</w:t>
      </w:r>
    </w:p>
    <w:p>
      <w:pPr>
        <w:spacing w:line="460" w:lineRule="exact"/>
        <w:ind w:firstLine="480" w:firstLineChars="200"/>
        <w:rPr>
          <w:rFonts w:eastAsia="宋体"/>
          <w:snapToGrid w:val="0"/>
          <w:spacing w:val="0"/>
          <w:sz w:val="24"/>
        </w:rPr>
      </w:pPr>
      <w:r>
        <w:rPr>
          <w:rFonts w:hint="eastAsia" w:eastAsia="宋体"/>
          <w:snapToGrid w:val="0"/>
          <w:spacing w:val="0"/>
          <w:sz w:val="24"/>
        </w:rPr>
        <w:t>现任监事有权向公司监事会推荐非由职工代表担任的监事候选人，并提供监事候选人的简历和基本情况，经监事会进行资格审核后，提交股东大会选举。</w:t>
      </w:r>
    </w:p>
    <w:p>
      <w:pPr>
        <w:spacing w:line="460" w:lineRule="exact"/>
        <w:ind w:firstLine="480" w:firstLineChars="200"/>
        <w:rPr>
          <w:rFonts w:eastAsia="宋体"/>
          <w:snapToGrid w:val="0"/>
          <w:spacing w:val="0"/>
          <w:sz w:val="24"/>
        </w:rPr>
      </w:pPr>
      <w:r>
        <w:rPr>
          <w:rFonts w:hint="eastAsia" w:eastAsia="宋体"/>
          <w:snapToGrid w:val="0"/>
          <w:spacing w:val="0"/>
          <w:sz w:val="24"/>
        </w:rPr>
        <w:t>（二）监事会中的职工代表由公司职工通过民主方式选举产生。</w:t>
      </w:r>
    </w:p>
    <w:p>
      <w:pPr>
        <w:spacing w:line="460" w:lineRule="exact"/>
        <w:ind w:firstLine="480" w:firstLineChars="200"/>
        <w:rPr>
          <w:rFonts w:hint="eastAsia" w:eastAsia="宋体"/>
          <w:snapToGrid w:val="0"/>
          <w:spacing w:val="0"/>
          <w:sz w:val="24"/>
        </w:rPr>
      </w:pPr>
      <w:r>
        <w:rPr>
          <w:rFonts w:hint="eastAsia" w:eastAsia="宋体"/>
          <w:snapToGrid w:val="0"/>
          <w:spacing w:val="0"/>
          <w:sz w:val="24"/>
        </w:rPr>
        <w:t>（三）公司董事会、监事会、单独或者合计持有公司百分之一以上股份的股东可以提出独立董事候选人。</w:t>
      </w:r>
    </w:p>
    <w:p>
      <w:pPr>
        <w:spacing w:line="460" w:lineRule="exact"/>
        <w:ind w:firstLine="480" w:firstLineChars="200"/>
        <w:rPr>
          <w:rFonts w:eastAsia="宋体"/>
          <w:snapToGrid w:val="0"/>
          <w:spacing w:val="0"/>
          <w:sz w:val="24"/>
        </w:rPr>
      </w:pPr>
      <w:r>
        <w:rPr>
          <w:rFonts w:hint="eastAsia" w:eastAsia="宋体"/>
          <w:snapToGrid w:val="0"/>
          <w:spacing w:val="0"/>
          <w:sz w:val="24"/>
        </w:rPr>
        <w:t>当控股股东控股比例达到百分之三十以上，或者选举两名以上董事或监事的，应当实行累积投票制。</w:t>
      </w:r>
    </w:p>
    <w:p>
      <w:pPr>
        <w:spacing w:line="460" w:lineRule="exact"/>
        <w:ind w:firstLine="480" w:firstLineChars="200"/>
        <w:rPr>
          <w:rFonts w:eastAsia="宋体"/>
          <w:snapToGrid w:val="0"/>
          <w:spacing w:val="0"/>
          <w:sz w:val="24"/>
        </w:rPr>
      </w:pPr>
      <w:r>
        <w:rPr>
          <w:rFonts w:hint="eastAsia" w:eastAsia="宋体"/>
          <w:snapToGrid w:val="0"/>
          <w:spacing w:val="0"/>
          <w:sz w:val="24"/>
        </w:rPr>
        <w:t>股东大会以累积投票方式选举董事的，独立董事和非独立董事的表决应当分别进行。</w:t>
      </w:r>
    </w:p>
    <w:p>
      <w:pPr>
        <w:spacing w:line="460" w:lineRule="exact"/>
        <w:ind w:firstLine="480" w:firstLineChars="200"/>
        <w:rPr>
          <w:rFonts w:eastAsia="宋体"/>
          <w:snapToGrid w:val="0"/>
          <w:spacing w:val="0"/>
          <w:sz w:val="24"/>
        </w:rPr>
      </w:pPr>
      <w:r>
        <w:rPr>
          <w:rFonts w:hint="eastAsia" w:eastAsia="宋体"/>
          <w:snapToGrid w:val="0"/>
          <w:spacing w:val="0"/>
          <w:sz w:val="24"/>
        </w:rPr>
        <w:t>前款所称累积投票制是指股东大会选举董事或者监事时，每一股份拥有与应选董事或者监事人数相同的表决权，股东拥有的表决权可以集中使用。董事会应当向股东告知候选董事、监事的简历和基本情况。</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股东大会审议提案时，不会对提案进行修改，否则，有关变更应当被视为一个新的提案，不能在本次股东大会上进行表决。</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同一表决权只能选择现场、网络或其他表决方式中的一种。同一表决权出现重复表决的以第一次投票结果为准。</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股东大会采取记名方式投票表决。</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股东大会对提案进行表决前，应当推举两名股东代表参加计票和监票。审议事项与股东有利害关系的，相关股东及代理人不得参加计票、监票。</w:t>
      </w:r>
    </w:p>
    <w:p>
      <w:pPr>
        <w:spacing w:line="460" w:lineRule="exact"/>
        <w:ind w:left="160" w:leftChars="61" w:firstLine="403" w:firstLineChars="168"/>
        <w:rPr>
          <w:rFonts w:eastAsia="宋体"/>
          <w:snapToGrid w:val="0"/>
          <w:spacing w:val="0"/>
          <w:sz w:val="24"/>
        </w:rPr>
      </w:pPr>
      <w:r>
        <w:rPr>
          <w:rFonts w:hint="eastAsia" w:eastAsia="宋体"/>
          <w:snapToGrid w:val="0"/>
          <w:spacing w:val="0"/>
          <w:sz w:val="24"/>
        </w:rPr>
        <w:t>股东大会对提案进行表决时，应当由律师、股东代表与监事代表共同负责计票、监票，并当场公布表决结果，决议的表决结果载入会议记录。</w:t>
      </w:r>
    </w:p>
    <w:p>
      <w:pPr>
        <w:spacing w:line="460" w:lineRule="exact"/>
        <w:ind w:firstLine="480" w:firstLineChars="200"/>
        <w:rPr>
          <w:rFonts w:eastAsia="宋体"/>
          <w:snapToGrid w:val="0"/>
          <w:spacing w:val="0"/>
          <w:sz w:val="24"/>
        </w:rPr>
      </w:pPr>
      <w:r>
        <w:rPr>
          <w:rFonts w:hint="eastAsia" w:eastAsia="宋体"/>
          <w:snapToGrid w:val="0"/>
          <w:spacing w:val="0"/>
          <w:sz w:val="24"/>
        </w:rPr>
        <w:t>通过网络或其他方式投票的上市公司股东或其代理人，有权通过相应的投票系统查验自己的投票结果。</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股东大会现场结束时间不得早于网络或其他方式，会议主持人应当宣布每一提案的表决情况和结果，并根据表决结果宣布提案是否通过。</w:t>
      </w:r>
    </w:p>
    <w:p>
      <w:pPr>
        <w:spacing w:line="460" w:lineRule="exact"/>
        <w:ind w:left="225" w:leftChars="86" w:firstLine="465" w:firstLineChars="194"/>
        <w:rPr>
          <w:rFonts w:eastAsia="宋体"/>
          <w:snapToGrid w:val="0"/>
          <w:spacing w:val="0"/>
          <w:sz w:val="24"/>
        </w:rPr>
      </w:pPr>
      <w:r>
        <w:rPr>
          <w:rFonts w:hint="eastAsia" w:eastAsia="宋体"/>
          <w:snapToGrid w:val="0"/>
          <w:spacing w:val="0"/>
          <w:sz w:val="24"/>
        </w:rPr>
        <w:t>在正式公布表决结果前，股东大会现场、网络及其他表决方式中所涉及的公司、计票人、监票人、主要股东、网络服务方等相关各方对表决情况均负有保密义务。</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出席股东大会的股东，应当对提交表决的提案发表以下意见之一：赞成、反对或弃权。证券登记结算机构作为内地与香港股票市场交易互联互通机制股票的名义持有人按照实际持有人意思表示进行申报的除外。</w:t>
      </w:r>
    </w:p>
    <w:p>
      <w:pPr>
        <w:spacing w:line="460" w:lineRule="exact"/>
        <w:ind w:firstLine="480" w:firstLineChars="200"/>
        <w:rPr>
          <w:rFonts w:eastAsia="宋体"/>
          <w:snapToGrid w:val="0"/>
          <w:spacing w:val="0"/>
          <w:sz w:val="24"/>
        </w:rPr>
      </w:pPr>
      <w:r>
        <w:rPr>
          <w:rFonts w:hint="eastAsia" w:eastAsia="宋体"/>
          <w:snapToGrid w:val="0"/>
          <w:spacing w:val="0"/>
          <w:sz w:val="24"/>
        </w:rPr>
        <w:t>未填、错填、字迹无法辨认的表决票、未投的表决票均视为投票人放弃表决权利，其所持股份数的表决结果应计为“弃权”。</w:t>
      </w:r>
    </w:p>
    <w:p>
      <w:pPr>
        <w:numPr>
          <w:ilvl w:val="0"/>
          <w:numId w:val="8"/>
        </w:numPr>
        <w:tabs>
          <w:tab w:val="left" w:pos="1840"/>
          <w:tab w:val="clear" w:pos="1605"/>
        </w:tabs>
        <w:spacing w:line="460" w:lineRule="exact"/>
        <w:ind w:left="-16" w:firstLine="442"/>
        <w:rPr>
          <w:rFonts w:eastAsia="宋体"/>
          <w:snapToGrid w:val="0"/>
          <w:spacing w:val="0"/>
          <w:sz w:val="24"/>
        </w:rPr>
      </w:pPr>
      <w:r>
        <w:rPr>
          <w:rFonts w:hint="eastAsia" w:eastAsia="宋体"/>
          <w:snapToGrid w:val="0"/>
          <w:spacing w:val="0"/>
          <w:sz w:val="24"/>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股东大会决议应当及时公告，公告中应列明出席会议的股东和代理人人数、所持有表决权的股份总数及占公司有表决权股份总数的比例、表决方式、每项提案的表决结果和通过的各项决议的详细内容。</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提案未获通过，或者本次股东大会变更前次股东大会决议的，应当在会议决议公告中作特别提示。</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股东大会通过有关董事、监事选举提案的，新任董事、监事应获得任职资格，自股东大会作出相关决议之日起就任。</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股东大会通过有关派现、送股或资本公积转增股本提案的，公司将在股东大会结束后二个月内实施具体方案。</w:t>
      </w:r>
    </w:p>
    <w:p>
      <w:pPr>
        <w:pStyle w:val="2"/>
        <w:numPr>
          <w:ilvl w:val="0"/>
          <w:numId w:val="0"/>
        </w:numPr>
        <w:spacing w:before="120" w:after="0" w:line="460" w:lineRule="exact"/>
        <w:rPr>
          <w:rFonts w:eastAsia="宋体"/>
          <w:b/>
          <w:spacing w:val="0"/>
          <w:kern w:val="0"/>
          <w:sz w:val="30"/>
          <w:szCs w:val="30"/>
        </w:rPr>
      </w:pPr>
      <w:bookmarkStart w:id="89" w:name="_Toc511054561"/>
      <w:bookmarkStart w:id="90" w:name="_Toc12205"/>
      <w:bookmarkStart w:id="91" w:name="_Toc422141928"/>
      <w:bookmarkStart w:id="92" w:name="_Toc26720"/>
      <w:bookmarkStart w:id="93" w:name="_Toc21427"/>
      <w:bookmarkStart w:id="94" w:name="_Toc203475064"/>
      <w:bookmarkStart w:id="95" w:name="_Toc18797"/>
      <w:r>
        <w:rPr>
          <w:rFonts w:eastAsia="宋体"/>
          <w:b/>
          <w:spacing w:val="0"/>
          <w:kern w:val="0"/>
          <w:sz w:val="30"/>
          <w:szCs w:val="30"/>
        </w:rPr>
        <w:t>第五章  董事会</w:t>
      </w:r>
      <w:bookmarkEnd w:id="89"/>
      <w:bookmarkEnd w:id="90"/>
      <w:bookmarkEnd w:id="91"/>
      <w:bookmarkEnd w:id="92"/>
      <w:bookmarkEnd w:id="93"/>
      <w:bookmarkEnd w:id="94"/>
      <w:bookmarkEnd w:id="95"/>
    </w:p>
    <w:p>
      <w:pPr>
        <w:pStyle w:val="35"/>
        <w:tabs>
          <w:tab w:val="left" w:pos="1050"/>
          <w:tab w:val="clear" w:pos="1533"/>
        </w:tabs>
        <w:spacing w:before="120" w:after="0" w:line="460" w:lineRule="exact"/>
        <w:ind w:hanging="2"/>
        <w:rPr>
          <w:rFonts w:eastAsia="宋体"/>
          <w:b/>
          <w:snapToGrid w:val="0"/>
          <w:spacing w:val="0"/>
          <w:sz w:val="24"/>
          <w:szCs w:val="24"/>
        </w:rPr>
      </w:pPr>
      <w:bookmarkStart w:id="96" w:name="_Toc758"/>
      <w:bookmarkStart w:id="97" w:name="_Toc1884"/>
      <w:bookmarkStart w:id="98" w:name="_Toc14937"/>
      <w:bookmarkStart w:id="99" w:name="_Toc4211"/>
      <w:bookmarkStart w:id="100" w:name="_Toc422141929"/>
      <w:bookmarkStart w:id="101" w:name="_Toc203475065"/>
      <w:bookmarkStart w:id="102" w:name="_Toc511054562"/>
      <w:r>
        <w:rPr>
          <w:rFonts w:eastAsia="宋体"/>
          <w:b/>
          <w:snapToGrid w:val="0"/>
          <w:spacing w:val="0"/>
          <w:sz w:val="24"/>
          <w:szCs w:val="24"/>
        </w:rPr>
        <w:t>董事</w:t>
      </w:r>
      <w:bookmarkEnd w:id="96"/>
      <w:bookmarkEnd w:id="97"/>
      <w:bookmarkEnd w:id="98"/>
      <w:bookmarkEnd w:id="99"/>
      <w:bookmarkEnd w:id="100"/>
      <w:bookmarkEnd w:id="101"/>
      <w:bookmarkEnd w:id="102"/>
    </w:p>
    <w:p>
      <w:pPr>
        <w:numPr>
          <w:ilvl w:val="0"/>
          <w:numId w:val="8"/>
        </w:numPr>
        <w:tabs>
          <w:tab w:val="left" w:pos="2100"/>
          <w:tab w:val="clear" w:pos="1605"/>
        </w:tabs>
        <w:spacing w:line="460" w:lineRule="exact"/>
        <w:rPr>
          <w:rFonts w:eastAsia="宋体"/>
          <w:snapToGrid w:val="0"/>
          <w:spacing w:val="0"/>
          <w:sz w:val="24"/>
        </w:rPr>
      </w:pPr>
      <w:r>
        <w:rPr>
          <w:rFonts w:eastAsia="宋体"/>
          <w:snapToGrid w:val="0"/>
          <w:spacing w:val="0"/>
          <w:sz w:val="24"/>
        </w:rPr>
        <w:t>公司董事为自然人，有下列情形之一的，不能担任公司的董事：</w:t>
      </w:r>
    </w:p>
    <w:p>
      <w:pPr>
        <w:spacing w:line="460" w:lineRule="exact"/>
        <w:ind w:firstLine="480" w:firstLineChars="200"/>
        <w:rPr>
          <w:rFonts w:eastAsia="宋体"/>
          <w:snapToGrid w:val="0"/>
          <w:spacing w:val="0"/>
          <w:sz w:val="24"/>
        </w:rPr>
      </w:pPr>
      <w:r>
        <w:rPr>
          <w:rFonts w:eastAsia="宋体"/>
          <w:snapToGrid w:val="0"/>
          <w:spacing w:val="0"/>
          <w:sz w:val="24"/>
        </w:rPr>
        <w:t>（一）无民事行为能力或者限制民事行为能力；</w:t>
      </w:r>
    </w:p>
    <w:p>
      <w:pPr>
        <w:spacing w:line="460" w:lineRule="exact"/>
        <w:ind w:firstLine="480" w:firstLineChars="200"/>
        <w:rPr>
          <w:rFonts w:eastAsia="宋体"/>
          <w:snapToGrid w:val="0"/>
          <w:spacing w:val="0"/>
          <w:sz w:val="24"/>
        </w:rPr>
      </w:pPr>
      <w:r>
        <w:rPr>
          <w:rFonts w:eastAsia="宋体"/>
          <w:snapToGrid w:val="0"/>
          <w:spacing w:val="0"/>
          <w:sz w:val="24"/>
        </w:rPr>
        <w:t>（二）因贪污、贿赂、侵占财产、挪用财产或者破坏社会主义市场经济秩序，被判处刑罚，执行期满未逾五年，或者因犯罪被剥夺政治权利，执行期满未逾五年；</w:t>
      </w:r>
    </w:p>
    <w:p>
      <w:pPr>
        <w:spacing w:line="460" w:lineRule="exact"/>
        <w:ind w:firstLine="480" w:firstLineChars="200"/>
        <w:rPr>
          <w:rFonts w:eastAsia="宋体"/>
          <w:snapToGrid w:val="0"/>
          <w:spacing w:val="0"/>
          <w:sz w:val="24"/>
        </w:rPr>
      </w:pPr>
      <w:r>
        <w:rPr>
          <w:rFonts w:eastAsia="宋体"/>
          <w:snapToGrid w:val="0"/>
          <w:spacing w:val="0"/>
          <w:sz w:val="24"/>
        </w:rPr>
        <w:t>（三）担任破产清算的公司、企业的董事或者厂长、</w:t>
      </w:r>
      <w:r>
        <w:rPr>
          <w:rFonts w:hint="eastAsia" w:eastAsia="宋体"/>
          <w:snapToGrid w:val="0"/>
          <w:spacing w:val="0"/>
          <w:sz w:val="24"/>
        </w:rPr>
        <w:t>总经理</w:t>
      </w:r>
      <w:r>
        <w:rPr>
          <w:rFonts w:eastAsia="宋体"/>
          <w:snapToGrid w:val="0"/>
          <w:spacing w:val="0"/>
          <w:sz w:val="24"/>
        </w:rPr>
        <w:t>，对该公司、企业的破产负有个人责任的，自该公司、企业破产清算完结之日起未逾三年；</w:t>
      </w:r>
    </w:p>
    <w:p>
      <w:pPr>
        <w:spacing w:line="460" w:lineRule="exact"/>
        <w:ind w:firstLine="480" w:firstLineChars="200"/>
        <w:rPr>
          <w:rFonts w:eastAsia="宋体"/>
          <w:snapToGrid w:val="0"/>
          <w:spacing w:val="0"/>
          <w:sz w:val="24"/>
        </w:rPr>
      </w:pPr>
      <w:r>
        <w:rPr>
          <w:rFonts w:eastAsia="宋体"/>
          <w:snapToGrid w:val="0"/>
          <w:spacing w:val="0"/>
          <w:sz w:val="24"/>
        </w:rPr>
        <w:t>（四）担任因违法被吊销营业执照、责令关闭的公司、企业的法定代表人，并负有个人责任的，自该公司、企业被吊销营业执照之日起未逾三年；</w:t>
      </w:r>
    </w:p>
    <w:p>
      <w:pPr>
        <w:spacing w:line="460" w:lineRule="exact"/>
        <w:ind w:firstLine="480" w:firstLineChars="200"/>
        <w:rPr>
          <w:rFonts w:eastAsia="宋体"/>
          <w:snapToGrid w:val="0"/>
          <w:spacing w:val="0"/>
          <w:sz w:val="24"/>
        </w:rPr>
      </w:pPr>
      <w:r>
        <w:rPr>
          <w:rFonts w:eastAsia="宋体"/>
          <w:snapToGrid w:val="0"/>
          <w:spacing w:val="0"/>
          <w:sz w:val="24"/>
        </w:rPr>
        <w:t>（五）个人所负数额较大的债务到期未清偿；</w:t>
      </w:r>
    </w:p>
    <w:p>
      <w:pPr>
        <w:spacing w:line="460" w:lineRule="exact"/>
        <w:ind w:firstLine="480" w:firstLineChars="200"/>
        <w:rPr>
          <w:rFonts w:eastAsia="宋体"/>
          <w:snapToGrid w:val="0"/>
          <w:spacing w:val="0"/>
          <w:sz w:val="24"/>
        </w:rPr>
      </w:pPr>
      <w:r>
        <w:rPr>
          <w:rFonts w:eastAsia="宋体"/>
          <w:snapToGrid w:val="0"/>
          <w:spacing w:val="0"/>
          <w:sz w:val="24"/>
        </w:rPr>
        <w:t>（六）被中国证监会处以证券市场禁入处罚，期限未满的；</w:t>
      </w:r>
    </w:p>
    <w:p>
      <w:pPr>
        <w:spacing w:line="460" w:lineRule="exact"/>
        <w:ind w:firstLine="480" w:firstLineChars="200"/>
        <w:rPr>
          <w:rFonts w:eastAsia="宋体"/>
          <w:snapToGrid w:val="0"/>
          <w:spacing w:val="0"/>
          <w:sz w:val="24"/>
        </w:rPr>
      </w:pPr>
      <w:r>
        <w:rPr>
          <w:rFonts w:eastAsia="宋体"/>
          <w:snapToGrid w:val="0"/>
          <w:spacing w:val="0"/>
          <w:sz w:val="24"/>
        </w:rPr>
        <w:t>（七）</w:t>
      </w:r>
      <w:r>
        <w:rPr>
          <w:rFonts w:hint="eastAsia" w:eastAsia="宋体"/>
          <w:snapToGrid w:val="0"/>
          <w:spacing w:val="0"/>
          <w:sz w:val="24"/>
        </w:rPr>
        <w:t>被证券交易所公开认定为不适合担任上市公司董事、监事和高级管理人员，期限尚未届满的；</w:t>
      </w:r>
    </w:p>
    <w:p>
      <w:pPr>
        <w:spacing w:line="460" w:lineRule="exact"/>
        <w:ind w:firstLine="480" w:firstLineChars="200"/>
        <w:rPr>
          <w:rFonts w:eastAsia="宋体"/>
          <w:snapToGrid w:val="0"/>
          <w:spacing w:val="0"/>
          <w:sz w:val="24"/>
        </w:rPr>
      </w:pPr>
      <w:r>
        <w:rPr>
          <w:rFonts w:hint="eastAsia" w:eastAsia="宋体"/>
          <w:snapToGrid w:val="0"/>
          <w:spacing w:val="0"/>
          <w:sz w:val="24"/>
        </w:rPr>
        <w:t>（八）</w:t>
      </w:r>
      <w:r>
        <w:rPr>
          <w:rFonts w:eastAsia="宋体"/>
          <w:snapToGrid w:val="0"/>
          <w:spacing w:val="0"/>
          <w:sz w:val="24"/>
        </w:rPr>
        <w:t>法律、行政法规或部门规章规定的其他内容。</w:t>
      </w:r>
    </w:p>
    <w:p>
      <w:pPr>
        <w:spacing w:line="460" w:lineRule="exact"/>
        <w:ind w:firstLine="480" w:firstLineChars="200"/>
        <w:rPr>
          <w:rFonts w:eastAsia="宋体"/>
          <w:snapToGrid w:val="0"/>
          <w:spacing w:val="0"/>
          <w:sz w:val="24"/>
        </w:rPr>
      </w:pPr>
      <w:r>
        <w:rPr>
          <w:rFonts w:hint="eastAsia" w:eastAsia="宋体"/>
          <w:snapToGrid w:val="0"/>
          <w:spacing w:val="0"/>
          <w:sz w:val="24"/>
        </w:rPr>
        <w:t>董事候选人存在下列情形之一的，公司应当披露该候选人具体情形、拟选任相关候选人的原因以及是否影响公司的规范运作；</w:t>
      </w:r>
    </w:p>
    <w:p>
      <w:pPr>
        <w:pStyle w:val="40"/>
        <w:numPr>
          <w:ilvl w:val="0"/>
          <w:numId w:val="10"/>
        </w:numPr>
        <w:spacing w:line="460" w:lineRule="exact"/>
        <w:ind w:firstLineChars="0"/>
        <w:rPr>
          <w:rFonts w:eastAsia="宋体"/>
          <w:snapToGrid w:val="0"/>
          <w:spacing w:val="0"/>
          <w:sz w:val="24"/>
        </w:rPr>
      </w:pPr>
      <w:r>
        <w:rPr>
          <w:rFonts w:hint="eastAsia" w:eastAsia="宋体"/>
          <w:snapToGrid w:val="0"/>
          <w:spacing w:val="0"/>
          <w:sz w:val="24"/>
        </w:rPr>
        <w:t>最近三年内受到中国证监会行政处罚；</w:t>
      </w:r>
    </w:p>
    <w:p>
      <w:pPr>
        <w:spacing w:line="460" w:lineRule="exact"/>
        <w:ind w:left="480"/>
        <w:rPr>
          <w:rFonts w:eastAsia="宋体"/>
          <w:snapToGrid w:val="0"/>
          <w:spacing w:val="0"/>
          <w:sz w:val="24"/>
        </w:rPr>
      </w:pPr>
      <w:r>
        <w:rPr>
          <w:rFonts w:hint="eastAsia" w:eastAsia="宋体"/>
          <w:snapToGrid w:val="0"/>
          <w:spacing w:val="0"/>
          <w:sz w:val="24"/>
        </w:rPr>
        <w:t>（二）最近三年内受到证券交易所公开谴责或者三次以上通报批评；</w:t>
      </w:r>
    </w:p>
    <w:p>
      <w:pPr>
        <w:spacing w:line="460" w:lineRule="exact"/>
        <w:ind w:firstLine="480" w:firstLineChars="200"/>
        <w:rPr>
          <w:rFonts w:eastAsia="宋体"/>
          <w:snapToGrid w:val="0"/>
          <w:spacing w:val="0"/>
          <w:sz w:val="24"/>
        </w:rPr>
      </w:pPr>
      <w:r>
        <w:rPr>
          <w:rFonts w:hint="eastAsia" w:eastAsia="宋体"/>
          <w:snapToGrid w:val="0"/>
          <w:spacing w:val="0"/>
          <w:sz w:val="24"/>
        </w:rPr>
        <w:t>（三）因涉嫌犯罪被司法机关立案侦查或者涉嫌违法违规被中国证监会立案调查，尚未有明确结论意见。</w:t>
      </w:r>
    </w:p>
    <w:p>
      <w:pPr>
        <w:spacing w:line="460" w:lineRule="exact"/>
        <w:ind w:firstLine="480" w:firstLineChars="200"/>
        <w:rPr>
          <w:rFonts w:eastAsia="宋体"/>
          <w:snapToGrid w:val="0"/>
          <w:spacing w:val="0"/>
          <w:sz w:val="24"/>
        </w:rPr>
      </w:pPr>
      <w:r>
        <w:rPr>
          <w:rFonts w:hint="eastAsia" w:eastAsia="宋体"/>
          <w:snapToGrid w:val="0"/>
          <w:spacing w:val="0"/>
          <w:sz w:val="24"/>
        </w:rPr>
        <w:t>以上期间，按拟选任董事的股东大会审议董事候选人聘任议案的日期为截止日。</w:t>
      </w:r>
    </w:p>
    <w:p>
      <w:pPr>
        <w:spacing w:line="460" w:lineRule="exact"/>
        <w:ind w:firstLine="480" w:firstLineChars="200"/>
        <w:rPr>
          <w:rFonts w:eastAsia="宋体"/>
          <w:snapToGrid w:val="0"/>
          <w:spacing w:val="0"/>
          <w:sz w:val="24"/>
        </w:rPr>
      </w:pPr>
      <w:r>
        <w:rPr>
          <w:rFonts w:hint="eastAsia" w:eastAsia="宋体"/>
          <w:snapToGrid w:val="0"/>
          <w:spacing w:val="0"/>
          <w:sz w:val="24"/>
        </w:rPr>
        <w:t>违反本条规定选举、委派董事的，该选举、委派或者聘任无效。董事在任职期间出现本条情形的，公司解除其职务。</w:t>
      </w:r>
    </w:p>
    <w:p>
      <w:pPr>
        <w:numPr>
          <w:ilvl w:val="0"/>
          <w:numId w:val="8"/>
        </w:numPr>
        <w:tabs>
          <w:tab w:val="left" w:pos="2100"/>
          <w:tab w:val="clear" w:pos="1605"/>
        </w:tabs>
        <w:spacing w:line="460" w:lineRule="exact"/>
        <w:ind w:left="-16" w:firstLine="442"/>
        <w:rPr>
          <w:rFonts w:eastAsia="宋体"/>
          <w:snapToGrid w:val="0"/>
          <w:spacing w:val="0"/>
          <w:sz w:val="24"/>
        </w:rPr>
      </w:pPr>
      <w:r>
        <w:rPr>
          <w:rFonts w:hint="eastAsia" w:eastAsia="宋体"/>
          <w:snapToGrid w:val="0"/>
          <w:spacing w:val="0"/>
          <w:sz w:val="24"/>
        </w:rPr>
        <w:t>董事由股东大会选举或者更换，并可在任期届满前由股东大会解除其职务。董事任期三年，任期届满可连选连任。</w:t>
      </w:r>
    </w:p>
    <w:p>
      <w:pPr>
        <w:spacing w:line="460" w:lineRule="exact"/>
        <w:ind w:firstLine="480" w:firstLineChars="200"/>
        <w:rPr>
          <w:rFonts w:eastAsia="宋体"/>
          <w:snapToGrid w:val="0"/>
          <w:spacing w:val="0"/>
          <w:sz w:val="24"/>
        </w:rPr>
      </w:pPr>
      <w:r>
        <w:rPr>
          <w:rFonts w:hint="eastAsia" w:eastAsia="宋体"/>
          <w:snapToGrid w:val="0"/>
          <w:spacing w:val="0"/>
          <w:sz w:val="24"/>
        </w:rPr>
        <w:t>董事任期从就任之日起计算，至本届董事会任期届满时为止。董事任期届满未及时改选，在改选出的董事就任前，原董事仍应当依照法律、行政法规、部门规章和本章程的规定，履行董事职务。</w:t>
      </w:r>
    </w:p>
    <w:p>
      <w:pPr>
        <w:spacing w:line="460" w:lineRule="exact"/>
        <w:ind w:firstLine="480" w:firstLineChars="200"/>
        <w:rPr>
          <w:rFonts w:eastAsia="宋体"/>
          <w:snapToGrid w:val="0"/>
          <w:spacing w:val="0"/>
          <w:sz w:val="24"/>
        </w:rPr>
      </w:pPr>
      <w:r>
        <w:rPr>
          <w:rFonts w:hint="eastAsia" w:eastAsia="宋体"/>
          <w:snapToGrid w:val="0"/>
          <w:spacing w:val="0"/>
          <w:sz w:val="24"/>
        </w:rPr>
        <w:t>董事可以由总经理或者其他高级管理人员兼任，但兼任总经理或者其他高级管理人员职务的董事以及由职工代表担任的董事，总计不得超过公司董事总数的二分之一。</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董事应当遵守法律、行政法规和本章程，对公司负有下列忠实义务：</w:t>
      </w:r>
    </w:p>
    <w:p>
      <w:pPr>
        <w:spacing w:line="460" w:lineRule="exact"/>
        <w:ind w:firstLine="480" w:firstLineChars="200"/>
        <w:rPr>
          <w:rFonts w:eastAsia="宋体"/>
          <w:snapToGrid w:val="0"/>
          <w:spacing w:val="0"/>
          <w:sz w:val="24"/>
        </w:rPr>
      </w:pPr>
      <w:r>
        <w:rPr>
          <w:rFonts w:eastAsia="宋体"/>
          <w:snapToGrid w:val="0"/>
          <w:spacing w:val="0"/>
          <w:sz w:val="24"/>
        </w:rPr>
        <w:t>（一）不得利用职权收受贿赂或者其他非法收入，不得侵占公司的财产；</w:t>
      </w:r>
    </w:p>
    <w:p>
      <w:pPr>
        <w:spacing w:line="460" w:lineRule="exact"/>
        <w:ind w:firstLine="480" w:firstLineChars="200"/>
        <w:rPr>
          <w:rFonts w:eastAsia="宋体"/>
          <w:snapToGrid w:val="0"/>
          <w:spacing w:val="0"/>
          <w:sz w:val="24"/>
        </w:rPr>
      </w:pPr>
      <w:r>
        <w:rPr>
          <w:rFonts w:eastAsia="宋体"/>
          <w:snapToGrid w:val="0"/>
          <w:spacing w:val="0"/>
          <w:sz w:val="24"/>
        </w:rPr>
        <w:t>（二）不得挪用公司资金；</w:t>
      </w:r>
    </w:p>
    <w:p>
      <w:pPr>
        <w:spacing w:line="460" w:lineRule="exact"/>
        <w:ind w:firstLine="480" w:firstLineChars="200"/>
        <w:rPr>
          <w:rFonts w:eastAsia="宋体"/>
          <w:snapToGrid w:val="0"/>
          <w:spacing w:val="0"/>
          <w:sz w:val="24"/>
        </w:rPr>
      </w:pPr>
      <w:r>
        <w:rPr>
          <w:rFonts w:eastAsia="宋体"/>
          <w:snapToGrid w:val="0"/>
          <w:spacing w:val="0"/>
          <w:sz w:val="24"/>
        </w:rPr>
        <w:t>（三）不得将公司资产或者资金以其个人名义或者其他个人名义开立账户存储；</w:t>
      </w:r>
    </w:p>
    <w:p>
      <w:pPr>
        <w:spacing w:line="460" w:lineRule="exact"/>
        <w:ind w:firstLine="480" w:firstLineChars="200"/>
        <w:rPr>
          <w:rFonts w:eastAsia="宋体"/>
          <w:snapToGrid w:val="0"/>
          <w:spacing w:val="0"/>
          <w:sz w:val="24"/>
        </w:rPr>
      </w:pPr>
      <w:r>
        <w:rPr>
          <w:rFonts w:eastAsia="宋体"/>
          <w:snapToGrid w:val="0"/>
          <w:spacing w:val="0"/>
          <w:sz w:val="24"/>
        </w:rPr>
        <w:t>（四）不得违反本章程的规定，未经股东大会或董事会同意，将公司资金借贷给他人或者以公司财产为他人提供担保；</w:t>
      </w:r>
    </w:p>
    <w:p>
      <w:pPr>
        <w:spacing w:line="460" w:lineRule="exact"/>
        <w:ind w:firstLine="480" w:firstLineChars="200"/>
        <w:rPr>
          <w:rFonts w:eastAsia="宋体"/>
          <w:snapToGrid w:val="0"/>
          <w:spacing w:val="0"/>
          <w:sz w:val="24"/>
        </w:rPr>
      </w:pPr>
      <w:r>
        <w:rPr>
          <w:rFonts w:eastAsia="宋体"/>
          <w:snapToGrid w:val="0"/>
          <w:spacing w:val="0"/>
          <w:sz w:val="24"/>
        </w:rPr>
        <w:t>（五）不得违反本章程的规定或未经股东大会同意，与公司订立合同或者进行交易；</w:t>
      </w:r>
    </w:p>
    <w:p>
      <w:pPr>
        <w:spacing w:line="460" w:lineRule="exact"/>
        <w:ind w:firstLine="480" w:firstLineChars="200"/>
        <w:rPr>
          <w:rFonts w:eastAsia="宋体"/>
          <w:snapToGrid w:val="0"/>
          <w:spacing w:val="0"/>
          <w:sz w:val="24"/>
        </w:rPr>
      </w:pPr>
      <w:r>
        <w:rPr>
          <w:rFonts w:eastAsia="宋体"/>
          <w:snapToGrid w:val="0"/>
          <w:spacing w:val="0"/>
          <w:sz w:val="24"/>
        </w:rPr>
        <w:t>（六）未经股东大会同意，不得利用职务便利，为自己或他人谋取本应属于公司的商业机会，自营或者为他人经营与公司同类的业务；</w:t>
      </w:r>
    </w:p>
    <w:p>
      <w:pPr>
        <w:spacing w:line="460" w:lineRule="exact"/>
        <w:ind w:firstLine="480" w:firstLineChars="200"/>
        <w:rPr>
          <w:rFonts w:eastAsia="宋体"/>
          <w:snapToGrid w:val="0"/>
          <w:spacing w:val="0"/>
          <w:sz w:val="24"/>
        </w:rPr>
      </w:pPr>
      <w:r>
        <w:rPr>
          <w:rFonts w:eastAsia="宋体"/>
          <w:snapToGrid w:val="0"/>
          <w:spacing w:val="0"/>
          <w:sz w:val="24"/>
        </w:rPr>
        <w:t>（七）不得接受与公司交易的佣金归为己有；</w:t>
      </w:r>
    </w:p>
    <w:p>
      <w:pPr>
        <w:spacing w:line="460" w:lineRule="exact"/>
        <w:ind w:firstLine="480" w:firstLineChars="200"/>
        <w:rPr>
          <w:rFonts w:eastAsia="宋体"/>
          <w:snapToGrid w:val="0"/>
          <w:spacing w:val="0"/>
          <w:sz w:val="24"/>
        </w:rPr>
      </w:pPr>
      <w:r>
        <w:rPr>
          <w:rFonts w:eastAsia="宋体"/>
          <w:snapToGrid w:val="0"/>
          <w:spacing w:val="0"/>
          <w:sz w:val="24"/>
        </w:rPr>
        <w:t>（八）不得擅自披露公司秘密；</w:t>
      </w:r>
    </w:p>
    <w:p>
      <w:pPr>
        <w:spacing w:line="460" w:lineRule="exact"/>
        <w:ind w:firstLine="480" w:firstLineChars="200"/>
        <w:rPr>
          <w:rFonts w:eastAsia="宋体"/>
          <w:snapToGrid w:val="0"/>
          <w:spacing w:val="0"/>
          <w:sz w:val="24"/>
        </w:rPr>
      </w:pPr>
      <w:r>
        <w:rPr>
          <w:rFonts w:eastAsia="宋体"/>
          <w:snapToGrid w:val="0"/>
          <w:spacing w:val="0"/>
          <w:sz w:val="24"/>
        </w:rPr>
        <w:t>（九）不得利用其关联关系损害公司利益；</w:t>
      </w:r>
    </w:p>
    <w:p>
      <w:pPr>
        <w:spacing w:line="460" w:lineRule="exact"/>
        <w:ind w:firstLine="480" w:firstLineChars="200"/>
        <w:rPr>
          <w:rFonts w:eastAsia="宋体"/>
          <w:snapToGrid w:val="0"/>
          <w:spacing w:val="0"/>
          <w:sz w:val="24"/>
        </w:rPr>
      </w:pPr>
      <w:r>
        <w:rPr>
          <w:rFonts w:hint="eastAsia" w:eastAsia="宋体"/>
          <w:snapToGrid w:val="0"/>
          <w:spacing w:val="0"/>
          <w:sz w:val="24"/>
        </w:rPr>
        <w:t>（十）法律、行政法规、部门规章及本章程规定的其他忠实义务。</w:t>
      </w:r>
    </w:p>
    <w:p>
      <w:pPr>
        <w:spacing w:line="460" w:lineRule="exact"/>
        <w:ind w:firstLine="480" w:firstLineChars="200"/>
        <w:rPr>
          <w:rFonts w:eastAsia="宋体"/>
          <w:snapToGrid w:val="0"/>
          <w:spacing w:val="0"/>
          <w:sz w:val="24"/>
        </w:rPr>
      </w:pPr>
      <w:r>
        <w:rPr>
          <w:rFonts w:eastAsia="宋体"/>
          <w:snapToGrid w:val="0"/>
          <w:spacing w:val="0"/>
          <w:sz w:val="24"/>
        </w:rPr>
        <w:t>董事违反本条规定所得的收入，应当归公司所有；给公司造成损失的，应当承担赔偿责任。</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董事应当遵守法律、行政法规和本章程，对公司负有下列勤勉义务：</w:t>
      </w:r>
    </w:p>
    <w:p>
      <w:pPr>
        <w:tabs>
          <w:tab w:val="left" w:pos="0"/>
        </w:tabs>
        <w:spacing w:line="460" w:lineRule="exact"/>
        <w:ind w:left="0" w:leftChars="0" w:firstLine="524" w:firstLineChars="200"/>
        <w:rPr>
          <w:rFonts w:eastAsia="宋体"/>
          <w:color w:val="000000"/>
        </w:rPr>
      </w:pPr>
      <w:r>
        <w:rPr>
          <w:rFonts w:eastAsia="宋体"/>
          <w:color w:val="000000"/>
        </w:rPr>
        <w:t>（一）应谨慎、认真、勤勉地行使公司赋予的权利，以保证公司的商业行为符合国家法律、行政法规以及国家各项经济政策的要求，商业活动不超过营业执照规定的业务范围；</w:t>
      </w:r>
    </w:p>
    <w:p>
      <w:pPr>
        <w:spacing w:line="460" w:lineRule="exact"/>
        <w:ind w:firstLine="524" w:firstLineChars="200"/>
        <w:rPr>
          <w:rFonts w:eastAsia="宋体"/>
          <w:color w:val="000000"/>
        </w:rPr>
      </w:pPr>
      <w:r>
        <w:rPr>
          <w:rFonts w:hint="eastAsia" w:eastAsia="宋体"/>
          <w:color w:val="000000"/>
        </w:rPr>
        <w:t>（二）</w:t>
      </w:r>
      <w:r>
        <w:rPr>
          <w:rFonts w:hint="eastAsia" w:eastAsia="宋体"/>
          <w:color w:val="000000"/>
          <w:szCs w:val="25"/>
        </w:rPr>
        <w:t>原则上应当亲自出席董事会，以正常合理的谨慎态度勤勉行事并对所议事项表达明确意见；因故不能亲自出席董事会的，应当审慎地选择受托人；</w:t>
      </w:r>
    </w:p>
    <w:p>
      <w:pPr>
        <w:spacing w:line="460" w:lineRule="exact"/>
        <w:ind w:firstLine="524" w:firstLineChars="200"/>
        <w:rPr>
          <w:rFonts w:eastAsia="宋体"/>
          <w:color w:val="000000"/>
        </w:rPr>
      </w:pPr>
      <w:r>
        <w:rPr>
          <w:rFonts w:eastAsia="宋体"/>
          <w:color w:val="000000"/>
        </w:rPr>
        <w:t>（</w:t>
      </w:r>
      <w:r>
        <w:rPr>
          <w:rFonts w:hint="eastAsia" w:eastAsia="宋体"/>
          <w:color w:val="000000"/>
        </w:rPr>
        <w:t>三</w:t>
      </w:r>
      <w:r>
        <w:rPr>
          <w:rFonts w:eastAsia="宋体"/>
          <w:color w:val="000000"/>
        </w:rPr>
        <w:t>）应公平对待所有股东；</w:t>
      </w:r>
    </w:p>
    <w:p>
      <w:pPr>
        <w:spacing w:line="460" w:lineRule="exact"/>
        <w:ind w:firstLine="524" w:firstLineChars="200"/>
        <w:rPr>
          <w:rFonts w:eastAsia="宋体"/>
          <w:color w:val="000000"/>
        </w:rPr>
      </w:pPr>
      <w:r>
        <w:rPr>
          <w:rFonts w:hint="eastAsia" w:eastAsia="宋体"/>
          <w:color w:val="000000"/>
        </w:rPr>
        <w:t>（四）</w:t>
      </w:r>
      <w:r>
        <w:rPr>
          <w:rFonts w:hint="eastAsia" w:eastAsia="宋体"/>
          <w:color w:val="000000"/>
          <w:szCs w:val="25"/>
        </w:rPr>
        <w:t>认真阅读公司的各项商务、财务报告和公共媒体有关公司的报道，及时了解并持续关注公司业务经营管理状况和公司已发生或可能发生的重大事件及其影响；及时向董事会报告公司经营活动中存在的问题，不得以不直接从事经营管理或者不知悉为由推卸责任；</w:t>
      </w:r>
    </w:p>
    <w:p>
      <w:pPr>
        <w:spacing w:line="460" w:lineRule="exact"/>
        <w:ind w:firstLine="524" w:firstLineChars="200"/>
        <w:rPr>
          <w:rFonts w:eastAsia="宋体"/>
          <w:color w:val="000000"/>
        </w:rPr>
      </w:pPr>
      <w:r>
        <w:rPr>
          <w:rFonts w:eastAsia="宋体"/>
          <w:color w:val="000000"/>
        </w:rPr>
        <w:t>（</w:t>
      </w:r>
      <w:r>
        <w:rPr>
          <w:rFonts w:hint="eastAsia" w:eastAsia="宋体"/>
          <w:color w:val="000000"/>
        </w:rPr>
        <w:t>五</w:t>
      </w:r>
      <w:r>
        <w:rPr>
          <w:rFonts w:eastAsia="宋体"/>
          <w:color w:val="000000"/>
        </w:rPr>
        <w:t>）应当对公司定期报告签署书面确认意见。保证公司所披露的信息真实、准确、完整</w:t>
      </w:r>
      <w:r>
        <w:rPr>
          <w:rFonts w:hint="eastAsia" w:eastAsia="宋体"/>
          <w:color w:val="000000"/>
        </w:rPr>
        <w:t>；</w:t>
      </w:r>
    </w:p>
    <w:p>
      <w:pPr>
        <w:spacing w:line="460" w:lineRule="exact"/>
        <w:ind w:firstLine="524" w:firstLineChars="200"/>
        <w:rPr>
          <w:rFonts w:eastAsia="宋体"/>
          <w:color w:val="000000"/>
        </w:rPr>
      </w:pPr>
      <w:r>
        <w:rPr>
          <w:rFonts w:eastAsia="宋体"/>
          <w:color w:val="000000"/>
        </w:rPr>
        <w:t>（</w:t>
      </w:r>
      <w:r>
        <w:rPr>
          <w:rFonts w:hint="eastAsia" w:eastAsia="宋体"/>
          <w:color w:val="000000"/>
        </w:rPr>
        <w:t>六</w:t>
      </w:r>
      <w:r>
        <w:rPr>
          <w:rFonts w:eastAsia="宋体"/>
          <w:color w:val="000000"/>
        </w:rPr>
        <w:t>）应当如实向监事会提供有关情况和资料，不得妨碍监事会或者监事行使职权</w:t>
      </w:r>
      <w:r>
        <w:rPr>
          <w:rFonts w:hint="eastAsia" w:eastAsia="宋体"/>
          <w:color w:val="000000"/>
        </w:rPr>
        <w:t>；</w:t>
      </w:r>
    </w:p>
    <w:p>
      <w:pPr>
        <w:spacing w:line="460" w:lineRule="exact"/>
        <w:ind w:firstLine="524" w:firstLineChars="200"/>
        <w:rPr>
          <w:rFonts w:eastAsia="宋体"/>
          <w:color w:val="000000"/>
        </w:rPr>
      </w:pPr>
      <w:r>
        <w:rPr>
          <w:rFonts w:eastAsia="宋体"/>
          <w:color w:val="000000"/>
        </w:rPr>
        <w:t>（</w:t>
      </w:r>
      <w:r>
        <w:rPr>
          <w:rFonts w:hint="eastAsia" w:eastAsia="宋体"/>
          <w:color w:val="000000"/>
        </w:rPr>
        <w:t>七</w:t>
      </w:r>
      <w:r>
        <w:rPr>
          <w:rFonts w:eastAsia="宋体"/>
          <w:color w:val="000000"/>
        </w:rPr>
        <w:t>）法律、行政法规、部门规章及本章程规定的其他勤勉义务。</w:t>
      </w:r>
    </w:p>
    <w:p>
      <w:pPr>
        <w:numPr>
          <w:ilvl w:val="0"/>
          <w:numId w:val="8"/>
        </w:numPr>
        <w:tabs>
          <w:tab w:val="left" w:pos="2100"/>
          <w:tab w:val="clear" w:pos="1605"/>
        </w:tabs>
        <w:spacing w:line="460" w:lineRule="exact"/>
        <w:ind w:left="-16" w:firstLine="442"/>
        <w:rPr>
          <w:rFonts w:eastAsia="宋体"/>
          <w:snapToGrid w:val="0"/>
          <w:spacing w:val="0"/>
          <w:sz w:val="24"/>
        </w:rPr>
      </w:pPr>
      <w:r>
        <w:rPr>
          <w:rFonts w:eastAsia="宋体"/>
          <w:snapToGrid w:val="0"/>
          <w:spacing w:val="0"/>
          <w:sz w:val="24"/>
        </w:rPr>
        <w:t>董事连续两次未能亲自出席，也不委托其他董事出席董事会会议，视为不能履行职责，董事会应当建议股东大会予以撤换。</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董事可以在任期届满以前提出辞职。董事辞职应向董事会提交书面辞职报告。</w:t>
      </w:r>
      <w:r>
        <w:rPr>
          <w:rFonts w:hint="eastAsia" w:eastAsia="宋体"/>
          <w:snapToGrid w:val="0"/>
          <w:spacing w:val="0"/>
          <w:sz w:val="24"/>
        </w:rPr>
        <w:t>董事会将在两日内披露有关情况。</w:t>
      </w:r>
    </w:p>
    <w:p>
      <w:pPr>
        <w:spacing w:line="460" w:lineRule="exact"/>
        <w:ind w:firstLine="480" w:firstLineChars="200"/>
        <w:rPr>
          <w:rFonts w:eastAsia="宋体"/>
          <w:snapToGrid w:val="0"/>
          <w:spacing w:val="0"/>
          <w:sz w:val="24"/>
        </w:rPr>
      </w:pPr>
      <w:r>
        <w:rPr>
          <w:rFonts w:eastAsia="宋体"/>
          <w:snapToGrid w:val="0"/>
          <w:spacing w:val="0"/>
          <w:sz w:val="24"/>
        </w:rPr>
        <w:t>如因董事的辞职导致公司董事会低于法定最低人数时，在改选出的董事就任前，原董事仍应当依照法律、行政法规、部门规章和本章程规定，履行董事职务。</w:t>
      </w:r>
    </w:p>
    <w:p>
      <w:pPr>
        <w:spacing w:line="460" w:lineRule="exact"/>
        <w:ind w:firstLine="480" w:firstLineChars="200"/>
        <w:rPr>
          <w:rFonts w:eastAsia="宋体"/>
          <w:snapToGrid w:val="0"/>
          <w:spacing w:val="0"/>
          <w:sz w:val="24"/>
        </w:rPr>
      </w:pPr>
      <w:r>
        <w:rPr>
          <w:rFonts w:eastAsia="宋体"/>
          <w:snapToGrid w:val="0"/>
          <w:spacing w:val="0"/>
          <w:sz w:val="24"/>
        </w:rPr>
        <w:t>除前款所列情形外，董事辞职自辞职报告送达董事会时生效。</w:t>
      </w:r>
    </w:p>
    <w:p>
      <w:pPr>
        <w:numPr>
          <w:ilvl w:val="0"/>
          <w:numId w:val="8"/>
        </w:numPr>
        <w:tabs>
          <w:tab w:val="left" w:pos="2360"/>
          <w:tab w:val="clear" w:pos="1605"/>
        </w:tabs>
        <w:spacing w:line="460" w:lineRule="exact"/>
        <w:ind w:left="0"/>
        <w:rPr>
          <w:rFonts w:eastAsia="宋体"/>
          <w:snapToGrid w:val="0"/>
          <w:spacing w:val="0"/>
          <w:sz w:val="24"/>
        </w:rPr>
      </w:pPr>
      <w:r>
        <w:rPr>
          <w:rFonts w:hint="eastAsia" w:eastAsia="宋体"/>
          <w:snapToGrid w:val="0"/>
          <w:spacing w:val="0"/>
          <w:sz w:val="24"/>
        </w:rPr>
        <w:t>董事辞职生效或者任期届满，应向董事会办妥所有移交手续，其对公司和股东承担的忠实义务，在任期结束后并不当然解除，在本章程规定的合理期限内仍然有效。</w:t>
      </w:r>
    </w:p>
    <w:p>
      <w:pPr>
        <w:spacing w:line="460" w:lineRule="exact"/>
        <w:ind w:firstLine="480" w:firstLineChars="200"/>
        <w:rPr>
          <w:rFonts w:eastAsia="宋体"/>
          <w:snapToGrid w:val="0"/>
          <w:spacing w:val="0"/>
          <w:sz w:val="24"/>
        </w:rPr>
      </w:pPr>
      <w:r>
        <w:rPr>
          <w:rFonts w:hint="eastAsia" w:eastAsia="宋体"/>
          <w:snapToGrid w:val="0"/>
          <w:spacing w:val="0"/>
          <w:sz w:val="24"/>
        </w:rPr>
        <w:t>董事任期结束后两年内，不得自营或者为他人经营与本公司同类的业务。</w:t>
      </w:r>
    </w:p>
    <w:p>
      <w:pPr>
        <w:spacing w:line="460" w:lineRule="exact"/>
        <w:ind w:firstLine="480" w:firstLineChars="200"/>
        <w:rPr>
          <w:rFonts w:eastAsia="宋体"/>
          <w:snapToGrid w:val="0"/>
          <w:spacing w:val="0"/>
          <w:sz w:val="24"/>
        </w:rPr>
      </w:pPr>
      <w:r>
        <w:rPr>
          <w:rFonts w:hint="eastAsia" w:eastAsia="宋体"/>
          <w:snapToGrid w:val="0"/>
          <w:spacing w:val="0"/>
          <w:sz w:val="24"/>
        </w:rPr>
        <w:t>董事对公司的商业秘密包括核心技术等负有的公司商业秘密保密的义务在其任职结束后仍然有效，直到该秘密成为公开信息。</w:t>
      </w:r>
    </w:p>
    <w:p>
      <w:pPr>
        <w:spacing w:line="460" w:lineRule="exact"/>
        <w:ind w:firstLine="480" w:firstLineChars="200"/>
        <w:rPr>
          <w:rFonts w:eastAsia="宋体"/>
          <w:snapToGrid w:val="0"/>
          <w:spacing w:val="0"/>
          <w:sz w:val="24"/>
        </w:rPr>
      </w:pPr>
      <w:r>
        <w:rPr>
          <w:rFonts w:hint="eastAsia" w:eastAsia="宋体"/>
          <w:snapToGrid w:val="0"/>
          <w:spacing w:val="0"/>
          <w:sz w:val="24"/>
        </w:rPr>
        <w:t>其他忠实义务的持续期间应当根据公平的原则决定，视事件发生与离任之间时间的长短，以及与公司的关系在何种情况和条件下结束而定。</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董事执行公司职务时违反法律、行政法规、部门规章或本章程的规定，给公司造成损失的，应当承担赔偿责任。</w:t>
      </w:r>
    </w:p>
    <w:p>
      <w:pPr>
        <w:numPr>
          <w:ilvl w:val="0"/>
          <w:numId w:val="8"/>
        </w:numPr>
        <w:tabs>
          <w:tab w:val="left" w:pos="2360"/>
          <w:tab w:val="clear" w:pos="1605"/>
        </w:tabs>
        <w:spacing w:line="460" w:lineRule="exact"/>
        <w:ind w:left="-16" w:firstLine="442"/>
        <w:rPr>
          <w:rFonts w:eastAsia="宋体"/>
          <w:snapToGrid w:val="0"/>
          <w:spacing w:val="0"/>
          <w:sz w:val="24"/>
        </w:rPr>
      </w:pPr>
      <w:r>
        <w:rPr>
          <w:rFonts w:hAnsi="宋体" w:eastAsia="宋体"/>
          <w:snapToGrid w:val="0"/>
          <w:spacing w:val="0"/>
        </w:rPr>
        <w:t>独立董事应按照法律、行政法规及部门规章的有关规定执行。</w:t>
      </w:r>
    </w:p>
    <w:p>
      <w:pPr>
        <w:pStyle w:val="35"/>
        <w:tabs>
          <w:tab w:val="left" w:pos="1050"/>
          <w:tab w:val="clear" w:pos="1533"/>
        </w:tabs>
        <w:spacing w:before="120" w:after="0" w:line="460" w:lineRule="exact"/>
        <w:ind w:hanging="2"/>
        <w:rPr>
          <w:rFonts w:eastAsia="宋体"/>
          <w:b/>
          <w:snapToGrid w:val="0"/>
          <w:spacing w:val="0"/>
          <w:sz w:val="24"/>
          <w:szCs w:val="24"/>
        </w:rPr>
      </w:pPr>
      <w:bookmarkStart w:id="103" w:name="_Toc26700"/>
      <w:bookmarkStart w:id="104" w:name="_Toc511054563"/>
      <w:bookmarkStart w:id="105" w:name="_Toc15396"/>
      <w:bookmarkStart w:id="106" w:name="_Toc26408"/>
      <w:bookmarkStart w:id="107" w:name="_Toc203475066"/>
      <w:bookmarkStart w:id="108" w:name="_Toc20726"/>
      <w:bookmarkStart w:id="109" w:name="_Toc422141930"/>
      <w:r>
        <w:rPr>
          <w:rFonts w:eastAsia="宋体"/>
          <w:b/>
          <w:snapToGrid w:val="0"/>
          <w:spacing w:val="0"/>
          <w:sz w:val="24"/>
          <w:szCs w:val="24"/>
        </w:rPr>
        <w:t>董事会</w:t>
      </w:r>
      <w:bookmarkEnd w:id="103"/>
      <w:bookmarkEnd w:id="104"/>
      <w:bookmarkEnd w:id="105"/>
      <w:bookmarkEnd w:id="106"/>
      <w:bookmarkEnd w:id="107"/>
      <w:bookmarkEnd w:id="108"/>
      <w:bookmarkEnd w:id="109"/>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公司设董事会，对股东大会负责。</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公司董事会由</w:t>
      </w:r>
      <w:r>
        <w:rPr>
          <w:rFonts w:hint="eastAsia" w:eastAsia="宋体"/>
          <w:snapToGrid w:val="0"/>
          <w:spacing w:val="0"/>
          <w:sz w:val="24"/>
        </w:rPr>
        <w:t>7</w:t>
      </w:r>
      <w:r>
        <w:rPr>
          <w:rFonts w:eastAsia="宋体"/>
          <w:snapToGrid w:val="0"/>
          <w:spacing w:val="0"/>
          <w:sz w:val="24"/>
        </w:rPr>
        <w:t>名董事组成</w:t>
      </w:r>
      <w:r>
        <w:rPr>
          <w:rFonts w:hint="eastAsia" w:eastAsia="宋体"/>
          <w:snapToGrid w:val="0"/>
          <w:spacing w:val="0"/>
          <w:sz w:val="24"/>
        </w:rPr>
        <w:t>，其中独立董事3名。</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董事会行使下列职权：</w:t>
      </w:r>
    </w:p>
    <w:p>
      <w:pPr>
        <w:spacing w:line="460" w:lineRule="exact"/>
        <w:ind w:firstLine="480" w:firstLineChars="200"/>
        <w:rPr>
          <w:rFonts w:eastAsia="宋体"/>
          <w:snapToGrid w:val="0"/>
          <w:spacing w:val="0"/>
          <w:sz w:val="24"/>
        </w:rPr>
      </w:pPr>
      <w:r>
        <w:rPr>
          <w:rFonts w:eastAsia="宋体"/>
          <w:snapToGrid w:val="0"/>
          <w:spacing w:val="0"/>
          <w:sz w:val="24"/>
        </w:rPr>
        <w:t>（一）召集股东大会，并向股东大会报告工作；</w:t>
      </w:r>
    </w:p>
    <w:p>
      <w:pPr>
        <w:spacing w:line="460" w:lineRule="exact"/>
        <w:ind w:firstLine="480" w:firstLineChars="200"/>
        <w:rPr>
          <w:rFonts w:eastAsia="宋体"/>
          <w:snapToGrid w:val="0"/>
          <w:spacing w:val="0"/>
          <w:sz w:val="24"/>
        </w:rPr>
      </w:pPr>
      <w:r>
        <w:rPr>
          <w:rFonts w:eastAsia="宋体"/>
          <w:snapToGrid w:val="0"/>
          <w:spacing w:val="0"/>
          <w:sz w:val="24"/>
        </w:rPr>
        <w:t>（二）执行股东大会的决议；</w:t>
      </w:r>
    </w:p>
    <w:p>
      <w:pPr>
        <w:spacing w:line="460" w:lineRule="exact"/>
        <w:ind w:firstLine="480" w:firstLineChars="200"/>
        <w:rPr>
          <w:rFonts w:eastAsia="宋体"/>
          <w:snapToGrid w:val="0"/>
          <w:spacing w:val="0"/>
          <w:sz w:val="24"/>
        </w:rPr>
      </w:pPr>
      <w:r>
        <w:rPr>
          <w:rFonts w:eastAsia="宋体"/>
          <w:snapToGrid w:val="0"/>
          <w:spacing w:val="0"/>
          <w:sz w:val="24"/>
        </w:rPr>
        <w:t>（三）决定公司的经营计划和投资方案；</w:t>
      </w:r>
    </w:p>
    <w:p>
      <w:pPr>
        <w:spacing w:line="460" w:lineRule="exact"/>
        <w:ind w:firstLine="480" w:firstLineChars="200"/>
        <w:rPr>
          <w:rFonts w:eastAsia="宋体"/>
          <w:snapToGrid w:val="0"/>
          <w:spacing w:val="0"/>
          <w:sz w:val="24"/>
        </w:rPr>
      </w:pPr>
      <w:r>
        <w:rPr>
          <w:rFonts w:eastAsia="宋体"/>
          <w:snapToGrid w:val="0"/>
          <w:spacing w:val="0"/>
          <w:sz w:val="24"/>
        </w:rPr>
        <w:t>（四）制订公司的年度财务预算方案、决算方案；</w:t>
      </w:r>
    </w:p>
    <w:p>
      <w:pPr>
        <w:spacing w:line="460" w:lineRule="exact"/>
        <w:ind w:firstLine="480" w:firstLineChars="200"/>
        <w:rPr>
          <w:rFonts w:eastAsia="宋体"/>
          <w:snapToGrid w:val="0"/>
          <w:spacing w:val="0"/>
          <w:sz w:val="24"/>
        </w:rPr>
      </w:pPr>
      <w:r>
        <w:rPr>
          <w:rFonts w:eastAsia="宋体"/>
          <w:snapToGrid w:val="0"/>
          <w:spacing w:val="0"/>
          <w:sz w:val="24"/>
        </w:rPr>
        <w:t>（五）制订公司的利润分配方案和弥补亏损方案；</w:t>
      </w:r>
    </w:p>
    <w:p>
      <w:pPr>
        <w:spacing w:line="460" w:lineRule="exact"/>
        <w:ind w:firstLine="480" w:firstLineChars="200"/>
        <w:rPr>
          <w:rFonts w:eastAsia="宋体"/>
          <w:snapToGrid w:val="0"/>
          <w:spacing w:val="0"/>
          <w:sz w:val="24"/>
        </w:rPr>
      </w:pPr>
      <w:r>
        <w:rPr>
          <w:rFonts w:eastAsia="宋体"/>
          <w:snapToGrid w:val="0"/>
          <w:spacing w:val="0"/>
          <w:sz w:val="24"/>
        </w:rPr>
        <w:t>（六）制订公司增加或者减少注册资本、发行债券或其他证券及上市方案；</w:t>
      </w:r>
    </w:p>
    <w:p>
      <w:pPr>
        <w:spacing w:line="460" w:lineRule="exact"/>
        <w:ind w:firstLine="480" w:firstLineChars="200"/>
        <w:rPr>
          <w:rFonts w:eastAsia="宋体"/>
          <w:snapToGrid w:val="0"/>
          <w:spacing w:val="0"/>
          <w:sz w:val="24"/>
        </w:rPr>
      </w:pPr>
      <w:r>
        <w:rPr>
          <w:rFonts w:eastAsia="宋体"/>
          <w:snapToGrid w:val="0"/>
          <w:spacing w:val="0"/>
          <w:sz w:val="24"/>
        </w:rPr>
        <w:t>（七）拟订公司重大收购、收购公司股票或者合并、分立、解散及变更公司形式的方案；</w:t>
      </w:r>
    </w:p>
    <w:p>
      <w:pPr>
        <w:spacing w:line="460" w:lineRule="exact"/>
        <w:ind w:firstLine="480" w:firstLineChars="200"/>
        <w:rPr>
          <w:rFonts w:eastAsia="宋体"/>
          <w:snapToGrid w:val="0"/>
          <w:spacing w:val="0"/>
          <w:sz w:val="24"/>
        </w:rPr>
      </w:pPr>
      <w:r>
        <w:rPr>
          <w:rFonts w:eastAsia="宋体"/>
          <w:snapToGrid w:val="0"/>
          <w:spacing w:val="0"/>
          <w:sz w:val="24"/>
        </w:rPr>
        <w:t>（八）在股东大会授权范围内，决定公司对外投资、收购出售资产、资产抵押、对外担保事项、委托理财、关联交易等事项；</w:t>
      </w:r>
    </w:p>
    <w:p>
      <w:pPr>
        <w:spacing w:line="460" w:lineRule="exact"/>
        <w:ind w:firstLine="480" w:firstLineChars="200"/>
        <w:rPr>
          <w:rFonts w:eastAsia="宋体"/>
          <w:snapToGrid w:val="0"/>
          <w:spacing w:val="0"/>
          <w:sz w:val="24"/>
        </w:rPr>
      </w:pPr>
      <w:r>
        <w:rPr>
          <w:rFonts w:eastAsia="宋体"/>
          <w:snapToGrid w:val="0"/>
          <w:spacing w:val="0"/>
          <w:sz w:val="24"/>
        </w:rPr>
        <w:t>（九）决定公司内部管理机构的设置；</w:t>
      </w:r>
    </w:p>
    <w:p>
      <w:pPr>
        <w:spacing w:line="460" w:lineRule="exact"/>
        <w:ind w:firstLine="480" w:firstLineChars="200"/>
        <w:rPr>
          <w:rFonts w:eastAsia="宋体"/>
          <w:snapToGrid w:val="0"/>
          <w:spacing w:val="0"/>
          <w:sz w:val="24"/>
        </w:rPr>
      </w:pPr>
      <w:r>
        <w:rPr>
          <w:rFonts w:eastAsia="宋体"/>
          <w:snapToGrid w:val="0"/>
          <w:spacing w:val="0"/>
          <w:sz w:val="24"/>
        </w:rPr>
        <w:t>（十）聘任或者解聘公司</w:t>
      </w:r>
      <w:r>
        <w:rPr>
          <w:rFonts w:hint="eastAsia" w:eastAsia="宋体"/>
          <w:snapToGrid w:val="0"/>
          <w:spacing w:val="0"/>
          <w:sz w:val="24"/>
        </w:rPr>
        <w:t>总经理</w:t>
      </w:r>
      <w:r>
        <w:rPr>
          <w:rFonts w:eastAsia="宋体"/>
          <w:snapToGrid w:val="0"/>
          <w:spacing w:val="0"/>
          <w:sz w:val="24"/>
        </w:rPr>
        <w:t>、董事会秘书；根据</w:t>
      </w:r>
      <w:r>
        <w:rPr>
          <w:rFonts w:hint="eastAsia" w:eastAsia="宋体"/>
          <w:snapToGrid w:val="0"/>
          <w:spacing w:val="0"/>
          <w:sz w:val="24"/>
        </w:rPr>
        <w:t>总经理</w:t>
      </w:r>
      <w:r>
        <w:rPr>
          <w:rFonts w:eastAsia="宋体"/>
          <w:snapToGrid w:val="0"/>
          <w:spacing w:val="0"/>
          <w:sz w:val="24"/>
        </w:rPr>
        <w:t>的提名，聘任或者解聘公司</w:t>
      </w:r>
      <w:r>
        <w:rPr>
          <w:rFonts w:hint="eastAsia" w:eastAsia="宋体"/>
          <w:snapToGrid w:val="0"/>
          <w:spacing w:val="0"/>
          <w:sz w:val="24"/>
          <w:lang w:val="en-US" w:eastAsia="zh-CN"/>
        </w:rPr>
        <w:t>高级副总经理、</w:t>
      </w:r>
      <w:r>
        <w:rPr>
          <w:rFonts w:eastAsia="宋体"/>
          <w:snapToGrid w:val="0"/>
          <w:spacing w:val="0"/>
          <w:sz w:val="24"/>
        </w:rPr>
        <w:t>副</w:t>
      </w:r>
      <w:r>
        <w:rPr>
          <w:rFonts w:hint="eastAsia" w:eastAsia="宋体"/>
          <w:snapToGrid w:val="0"/>
          <w:spacing w:val="0"/>
          <w:sz w:val="24"/>
        </w:rPr>
        <w:t>总经理</w:t>
      </w:r>
      <w:r>
        <w:rPr>
          <w:rFonts w:eastAsia="宋体"/>
          <w:snapToGrid w:val="0"/>
          <w:spacing w:val="0"/>
          <w:sz w:val="24"/>
        </w:rPr>
        <w:t>、</w:t>
      </w:r>
      <w:r>
        <w:rPr>
          <w:rFonts w:hint="eastAsia" w:eastAsia="宋体"/>
          <w:snapToGrid w:val="0"/>
          <w:spacing w:val="0"/>
          <w:sz w:val="24"/>
        </w:rPr>
        <w:t>财务负责人</w:t>
      </w:r>
      <w:r>
        <w:rPr>
          <w:rFonts w:eastAsia="宋体"/>
          <w:snapToGrid w:val="0"/>
          <w:spacing w:val="0"/>
          <w:sz w:val="24"/>
        </w:rPr>
        <w:t>等高级管理人员，并决定其报酬事项和奖惩事项；</w:t>
      </w:r>
    </w:p>
    <w:p>
      <w:pPr>
        <w:spacing w:line="460" w:lineRule="exact"/>
        <w:ind w:firstLine="480" w:firstLineChars="200"/>
        <w:rPr>
          <w:rFonts w:eastAsia="宋体"/>
          <w:snapToGrid w:val="0"/>
          <w:spacing w:val="0"/>
          <w:sz w:val="24"/>
        </w:rPr>
      </w:pPr>
      <w:r>
        <w:rPr>
          <w:rFonts w:eastAsia="宋体"/>
          <w:snapToGrid w:val="0"/>
          <w:spacing w:val="0"/>
          <w:sz w:val="24"/>
        </w:rPr>
        <w:t>（十一）制订公司的基本管理制度；</w:t>
      </w:r>
    </w:p>
    <w:p>
      <w:pPr>
        <w:spacing w:line="460" w:lineRule="exact"/>
        <w:ind w:firstLine="480" w:firstLineChars="200"/>
        <w:rPr>
          <w:rFonts w:eastAsia="宋体"/>
          <w:snapToGrid w:val="0"/>
          <w:spacing w:val="0"/>
          <w:sz w:val="24"/>
        </w:rPr>
      </w:pPr>
      <w:r>
        <w:rPr>
          <w:rFonts w:eastAsia="宋体"/>
          <w:snapToGrid w:val="0"/>
          <w:spacing w:val="0"/>
          <w:sz w:val="24"/>
        </w:rPr>
        <w:t>（十二）制订本章程的修改方案；</w:t>
      </w:r>
    </w:p>
    <w:p>
      <w:pPr>
        <w:spacing w:line="460" w:lineRule="exact"/>
        <w:ind w:firstLine="480" w:firstLineChars="200"/>
        <w:rPr>
          <w:rFonts w:eastAsia="宋体"/>
          <w:snapToGrid w:val="0"/>
          <w:spacing w:val="0"/>
          <w:sz w:val="24"/>
        </w:rPr>
      </w:pPr>
      <w:r>
        <w:rPr>
          <w:rFonts w:eastAsia="宋体"/>
          <w:snapToGrid w:val="0"/>
          <w:spacing w:val="0"/>
          <w:sz w:val="24"/>
        </w:rPr>
        <w:t>（十三）管理公司信息披露事项；</w:t>
      </w:r>
    </w:p>
    <w:p>
      <w:pPr>
        <w:spacing w:line="460" w:lineRule="exact"/>
        <w:ind w:firstLine="480" w:firstLineChars="200"/>
        <w:rPr>
          <w:rFonts w:eastAsia="宋体"/>
          <w:snapToGrid w:val="0"/>
          <w:spacing w:val="0"/>
          <w:sz w:val="24"/>
        </w:rPr>
      </w:pPr>
      <w:r>
        <w:rPr>
          <w:rFonts w:eastAsia="宋体"/>
          <w:snapToGrid w:val="0"/>
          <w:spacing w:val="0"/>
          <w:sz w:val="24"/>
        </w:rPr>
        <w:t>（十四）向股东大会提请聘请或更换为公司审计的会计师事务所；</w:t>
      </w:r>
    </w:p>
    <w:p>
      <w:pPr>
        <w:spacing w:line="460" w:lineRule="exact"/>
        <w:ind w:firstLine="480" w:firstLineChars="200"/>
        <w:rPr>
          <w:rFonts w:eastAsia="宋体"/>
          <w:snapToGrid w:val="0"/>
          <w:spacing w:val="0"/>
          <w:sz w:val="24"/>
        </w:rPr>
      </w:pPr>
      <w:r>
        <w:rPr>
          <w:rFonts w:eastAsia="宋体"/>
          <w:snapToGrid w:val="0"/>
          <w:spacing w:val="0"/>
          <w:sz w:val="24"/>
        </w:rPr>
        <w:t>（十五）听取公司</w:t>
      </w:r>
      <w:r>
        <w:rPr>
          <w:rFonts w:hint="eastAsia" w:eastAsia="宋体"/>
          <w:snapToGrid w:val="0"/>
          <w:spacing w:val="0"/>
          <w:sz w:val="24"/>
        </w:rPr>
        <w:t>总经理</w:t>
      </w:r>
      <w:r>
        <w:rPr>
          <w:rFonts w:eastAsia="宋体"/>
          <w:snapToGrid w:val="0"/>
          <w:spacing w:val="0"/>
          <w:sz w:val="24"/>
        </w:rPr>
        <w:t>的工作汇报并检查</w:t>
      </w:r>
      <w:r>
        <w:rPr>
          <w:rFonts w:hint="eastAsia" w:eastAsia="宋体"/>
          <w:snapToGrid w:val="0"/>
          <w:spacing w:val="0"/>
          <w:sz w:val="24"/>
        </w:rPr>
        <w:t>总经理</w:t>
      </w:r>
      <w:r>
        <w:rPr>
          <w:rFonts w:eastAsia="宋体"/>
          <w:snapToGrid w:val="0"/>
          <w:spacing w:val="0"/>
          <w:sz w:val="24"/>
        </w:rPr>
        <w:t>的工作；</w:t>
      </w:r>
    </w:p>
    <w:p>
      <w:pPr>
        <w:spacing w:line="460" w:lineRule="exact"/>
        <w:ind w:firstLine="480" w:firstLineChars="200"/>
        <w:rPr>
          <w:rFonts w:eastAsia="宋体"/>
          <w:snapToGrid w:val="0"/>
          <w:spacing w:val="0"/>
          <w:sz w:val="24"/>
        </w:rPr>
      </w:pPr>
      <w:r>
        <w:rPr>
          <w:rFonts w:eastAsia="宋体"/>
          <w:snapToGrid w:val="0"/>
          <w:spacing w:val="0"/>
          <w:sz w:val="24"/>
        </w:rPr>
        <w:t>（十六）法律、行政法规、部门规章或本章程授予的其他职权。</w:t>
      </w:r>
    </w:p>
    <w:p>
      <w:pPr>
        <w:spacing w:line="460" w:lineRule="exact"/>
        <w:ind w:firstLine="480" w:firstLineChars="200"/>
        <w:rPr>
          <w:rFonts w:eastAsia="宋体"/>
          <w:snapToGrid w:val="0"/>
          <w:spacing w:val="0"/>
          <w:sz w:val="24"/>
        </w:rPr>
      </w:pPr>
      <w:r>
        <w:rPr>
          <w:rFonts w:hint="eastAsia" w:eastAsia="宋体"/>
          <w:snapToGrid w:val="0"/>
          <w:spacing w:val="0"/>
          <w:sz w:val="24"/>
        </w:rPr>
        <w:t>超过股东大会授权范围的事项，应当提交股东大会审议。</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公司董事会应当就注册会计师对公司财务报告出具的非标准审计意见向股东大会作出说明。</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董事会制定董事会议事规则，以确保董事会落实股东大会决议，提高工作效率，保证科学决策。</w:t>
      </w:r>
    </w:p>
    <w:p>
      <w:pPr>
        <w:tabs>
          <w:tab w:val="left" w:pos="0"/>
        </w:tabs>
        <w:spacing w:line="460" w:lineRule="exact"/>
        <w:ind w:left="79" w:hanging="79" w:hangingChars="33"/>
        <w:rPr>
          <w:rFonts w:eastAsia="宋体"/>
          <w:snapToGrid w:val="0"/>
          <w:spacing w:val="0"/>
          <w:sz w:val="24"/>
        </w:rPr>
      </w:pPr>
      <w:r>
        <w:rPr>
          <w:rFonts w:hint="eastAsia" w:eastAsia="宋体"/>
          <w:snapToGrid w:val="0"/>
          <w:spacing w:val="0"/>
          <w:sz w:val="24"/>
        </w:rPr>
        <w:t xml:space="preserve">    董事会议事规则应作为章程的附件，由董事会拟定，股东大会批准。</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董事会有权</w:t>
      </w:r>
      <w:r>
        <w:rPr>
          <w:rFonts w:hint="eastAsia" w:eastAsia="宋体"/>
          <w:snapToGrid w:val="0"/>
          <w:spacing w:val="0"/>
          <w:sz w:val="24"/>
          <w:lang w:val="en-US" w:eastAsia="zh-CN"/>
        </w:rPr>
        <w:t>审议</w:t>
      </w:r>
      <w:r>
        <w:rPr>
          <w:rFonts w:eastAsia="宋体"/>
          <w:snapToGrid w:val="0"/>
          <w:spacing w:val="0"/>
          <w:sz w:val="24"/>
        </w:rPr>
        <w:t>如下重大事项：</w:t>
      </w:r>
    </w:p>
    <w:p>
      <w:pPr>
        <w:spacing w:line="460" w:lineRule="exact"/>
        <w:ind w:firstLine="480" w:firstLineChars="200"/>
        <w:rPr>
          <w:rFonts w:eastAsia="宋体"/>
          <w:snapToGrid w:val="0"/>
          <w:spacing w:val="0"/>
          <w:sz w:val="24"/>
        </w:rPr>
      </w:pPr>
      <w:r>
        <w:rPr>
          <w:rFonts w:eastAsia="宋体"/>
          <w:snapToGrid w:val="0"/>
          <w:spacing w:val="0"/>
          <w:sz w:val="24"/>
        </w:rPr>
        <w:t>（一）</w:t>
      </w:r>
      <w:r>
        <w:rPr>
          <w:rFonts w:hint="eastAsia" w:eastAsia="宋体"/>
          <w:snapToGrid w:val="0"/>
          <w:spacing w:val="0"/>
          <w:sz w:val="24"/>
        </w:rPr>
        <w:t>审议公司在一年内贷款金额占公司最近一期经审计总资产百分之十以上的事项；</w:t>
      </w:r>
    </w:p>
    <w:p>
      <w:pPr>
        <w:spacing w:line="460" w:lineRule="exact"/>
        <w:ind w:firstLine="480" w:firstLineChars="200"/>
        <w:rPr>
          <w:rFonts w:eastAsia="宋体"/>
          <w:snapToGrid w:val="0"/>
          <w:spacing w:val="0"/>
          <w:sz w:val="24"/>
        </w:rPr>
      </w:pPr>
      <w:r>
        <w:rPr>
          <w:rFonts w:hint="eastAsia" w:eastAsia="宋体"/>
          <w:snapToGrid w:val="0"/>
          <w:spacing w:val="0"/>
          <w:sz w:val="24"/>
        </w:rPr>
        <w:t>（二）审议公司在一年内资产抵押总额占公司最近一期经审计总资产百分之十以上的事项；</w:t>
      </w:r>
    </w:p>
    <w:p>
      <w:pPr>
        <w:spacing w:line="460" w:lineRule="exact"/>
        <w:ind w:firstLine="480" w:firstLineChars="200"/>
        <w:rPr>
          <w:rFonts w:eastAsia="宋体"/>
          <w:snapToGrid w:val="0"/>
          <w:spacing w:val="0"/>
          <w:sz w:val="24"/>
        </w:rPr>
      </w:pPr>
      <w:r>
        <w:rPr>
          <w:rFonts w:eastAsia="宋体"/>
          <w:snapToGrid w:val="0"/>
          <w:spacing w:val="0"/>
          <w:sz w:val="24"/>
        </w:rPr>
        <w:t>（</w:t>
      </w:r>
      <w:r>
        <w:rPr>
          <w:rFonts w:hint="eastAsia" w:eastAsia="宋体"/>
          <w:snapToGrid w:val="0"/>
          <w:spacing w:val="0"/>
          <w:sz w:val="24"/>
        </w:rPr>
        <w:t>三</w:t>
      </w:r>
      <w:r>
        <w:rPr>
          <w:rFonts w:eastAsia="宋体"/>
          <w:snapToGrid w:val="0"/>
          <w:spacing w:val="0"/>
          <w:sz w:val="24"/>
        </w:rPr>
        <w:t>）</w:t>
      </w:r>
      <w:r>
        <w:rPr>
          <w:rFonts w:hint="eastAsia" w:eastAsia="宋体"/>
          <w:snapToGrid w:val="0"/>
          <w:spacing w:val="0"/>
          <w:sz w:val="24"/>
        </w:rPr>
        <w:t>审议公司与关联自然人发生的交易金额在三十万元以上的关联交易，以及与关联法人发生的交易金额在三百万元以上且占最近一期经审计净资产绝对值0.5%以上的关联交易；</w:t>
      </w:r>
    </w:p>
    <w:p>
      <w:pPr>
        <w:spacing w:line="460" w:lineRule="exact"/>
        <w:ind w:firstLine="480" w:firstLineChars="200"/>
        <w:rPr>
          <w:rFonts w:eastAsia="宋体"/>
          <w:snapToGrid w:val="0"/>
          <w:spacing w:val="0"/>
          <w:sz w:val="24"/>
        </w:rPr>
      </w:pPr>
      <w:r>
        <w:rPr>
          <w:rFonts w:eastAsia="宋体"/>
          <w:snapToGrid w:val="0"/>
          <w:spacing w:val="0"/>
          <w:sz w:val="24"/>
        </w:rPr>
        <w:t>（</w:t>
      </w:r>
      <w:r>
        <w:rPr>
          <w:rFonts w:hint="eastAsia" w:eastAsia="宋体"/>
          <w:snapToGrid w:val="0"/>
          <w:spacing w:val="0"/>
          <w:sz w:val="24"/>
        </w:rPr>
        <w:t>四</w:t>
      </w:r>
      <w:r>
        <w:rPr>
          <w:rFonts w:eastAsia="宋体"/>
          <w:snapToGrid w:val="0"/>
          <w:spacing w:val="0"/>
          <w:sz w:val="24"/>
        </w:rPr>
        <w:t>）</w:t>
      </w:r>
      <w:r>
        <w:rPr>
          <w:rFonts w:hint="eastAsia" w:eastAsia="宋体"/>
          <w:snapToGrid w:val="0"/>
          <w:spacing w:val="0"/>
          <w:sz w:val="24"/>
        </w:rPr>
        <w:t>审议公司发生的交易【包括但不限于：购买或出售资产（不含购买原材料、燃料和动力，以及出售产品、商品等与日常经营相关的资产，但资产置换中涉及购买、出售此类资产的，仍包含在内）、对外投资（含委托理财、委托贷款、对子公司投资等）、提供财务资助、提供担保、租入或者租出资产、签订管理方面的合同（含委托经营、受托经营等）、赠与或者受赠资产、债权或者债务重组、研究与开发项目的转移、签订许可协议等，但是公司受赠现金资产除外】达到下列标准之一的事项：</w:t>
      </w:r>
    </w:p>
    <w:p>
      <w:pPr>
        <w:spacing w:line="460" w:lineRule="exact"/>
        <w:ind w:firstLine="480" w:firstLineChars="200"/>
        <w:rPr>
          <w:rFonts w:eastAsia="宋体"/>
          <w:snapToGrid w:val="0"/>
          <w:spacing w:val="0"/>
          <w:sz w:val="24"/>
        </w:rPr>
      </w:pPr>
      <w:r>
        <w:rPr>
          <w:rFonts w:hint="eastAsia" w:eastAsia="宋体"/>
          <w:snapToGrid w:val="0"/>
          <w:spacing w:val="0"/>
          <w:sz w:val="24"/>
        </w:rPr>
        <w:t>1、交易涉及的资产总额占公司最近一期经审计总资产的百分之十以上，该交易涉及的资产总额同时存在账面值和评估值的，以高者为准；</w:t>
      </w:r>
    </w:p>
    <w:p>
      <w:pPr>
        <w:spacing w:line="460" w:lineRule="exact"/>
        <w:ind w:firstLine="480" w:firstLineChars="200"/>
        <w:rPr>
          <w:rFonts w:eastAsia="宋体"/>
          <w:snapToGrid w:val="0"/>
          <w:spacing w:val="0"/>
          <w:sz w:val="24"/>
        </w:rPr>
      </w:pPr>
      <w:r>
        <w:rPr>
          <w:rFonts w:hint="eastAsia" w:eastAsia="宋体"/>
          <w:snapToGrid w:val="0"/>
          <w:spacing w:val="0"/>
          <w:sz w:val="24"/>
        </w:rPr>
        <w:t>2、交易标的（如股权）在最近一个会计年度相关的营业收入占公司最近一个会计年度经审计营业收入的百分之十以上，且绝对金额超过一千万元；</w:t>
      </w:r>
    </w:p>
    <w:p>
      <w:pPr>
        <w:spacing w:line="460" w:lineRule="exact"/>
        <w:ind w:firstLine="480" w:firstLineChars="200"/>
        <w:rPr>
          <w:rFonts w:eastAsia="宋体"/>
          <w:snapToGrid w:val="0"/>
          <w:spacing w:val="0"/>
          <w:sz w:val="24"/>
        </w:rPr>
      </w:pPr>
      <w:r>
        <w:rPr>
          <w:rFonts w:hint="eastAsia" w:eastAsia="宋体"/>
          <w:snapToGrid w:val="0"/>
          <w:spacing w:val="0"/>
          <w:sz w:val="24"/>
        </w:rPr>
        <w:t>3、交易标的（如股权）在最近一个会计年度相关的净利润占公司最近一个会计年度经审计净利润的百分之十以上，且绝对金额超过一百万元；</w:t>
      </w:r>
    </w:p>
    <w:p>
      <w:pPr>
        <w:spacing w:line="460" w:lineRule="exact"/>
        <w:ind w:firstLine="480" w:firstLineChars="200"/>
        <w:rPr>
          <w:rFonts w:eastAsia="宋体"/>
          <w:snapToGrid w:val="0"/>
          <w:spacing w:val="0"/>
          <w:sz w:val="24"/>
        </w:rPr>
      </w:pPr>
      <w:r>
        <w:rPr>
          <w:rFonts w:hint="eastAsia" w:eastAsia="宋体"/>
          <w:snapToGrid w:val="0"/>
          <w:spacing w:val="0"/>
          <w:sz w:val="24"/>
        </w:rPr>
        <w:t>4、交易的成交金额（含承担债务和费用）占公司最近一期经审计净资产的百分之十以上，且绝对金额超过一千万元；</w:t>
      </w:r>
    </w:p>
    <w:p>
      <w:pPr>
        <w:spacing w:line="460" w:lineRule="exact"/>
        <w:ind w:firstLine="480" w:firstLineChars="200"/>
        <w:rPr>
          <w:rFonts w:eastAsia="宋体"/>
          <w:snapToGrid w:val="0"/>
          <w:spacing w:val="0"/>
          <w:sz w:val="24"/>
        </w:rPr>
      </w:pPr>
      <w:r>
        <w:rPr>
          <w:rFonts w:hint="eastAsia" w:eastAsia="宋体"/>
          <w:snapToGrid w:val="0"/>
          <w:spacing w:val="0"/>
          <w:sz w:val="24"/>
        </w:rPr>
        <w:t>5、交易产生的利润占公司最近一个会计年度经审计净利润的百分之十以上，且绝对金额超过一百万元。</w:t>
      </w:r>
    </w:p>
    <w:p>
      <w:pPr>
        <w:spacing w:line="460" w:lineRule="exact"/>
        <w:ind w:firstLine="480" w:firstLineChars="200"/>
        <w:rPr>
          <w:rFonts w:eastAsia="宋体"/>
          <w:snapToGrid w:val="0"/>
          <w:spacing w:val="0"/>
          <w:sz w:val="24"/>
        </w:rPr>
      </w:pPr>
      <w:r>
        <w:rPr>
          <w:rFonts w:hint="eastAsia" w:eastAsia="宋体"/>
          <w:snapToGrid w:val="0"/>
          <w:spacing w:val="0"/>
          <w:sz w:val="24"/>
        </w:rPr>
        <w:t>上述指标计算中涉及的数据如为负值，取其绝对值计算；</w:t>
      </w:r>
    </w:p>
    <w:p>
      <w:pPr>
        <w:spacing w:line="460" w:lineRule="exact"/>
        <w:ind w:firstLine="480" w:firstLineChars="200"/>
        <w:rPr>
          <w:rFonts w:eastAsia="宋体"/>
          <w:snapToGrid w:val="0"/>
          <w:spacing w:val="0"/>
          <w:sz w:val="24"/>
        </w:rPr>
      </w:pPr>
      <w:r>
        <w:rPr>
          <w:rFonts w:hint="eastAsia" w:eastAsia="宋体"/>
          <w:snapToGrid w:val="0"/>
          <w:spacing w:val="0"/>
          <w:sz w:val="24"/>
        </w:rPr>
        <w:t>（五）审议公司进行的风险投资。</w:t>
      </w:r>
    </w:p>
    <w:p>
      <w:pPr>
        <w:spacing w:line="460" w:lineRule="exact"/>
        <w:ind w:firstLine="504" w:firstLineChars="200"/>
        <w:rPr>
          <w:rFonts w:eastAsia="宋体"/>
          <w:snapToGrid w:val="0"/>
          <w:spacing w:val="0"/>
          <w:sz w:val="24"/>
        </w:rPr>
      </w:pPr>
      <w:r>
        <w:rPr>
          <w:rFonts w:hint="eastAsia" w:eastAsia="宋体"/>
          <w:sz w:val="24"/>
        </w:rPr>
        <w:t>公司进行的证券投资、风险投资、委托理财、对外提供财务资助及对外担保事项，无论交易金额大小，均应提交董事会审议，不得授权董事个人或经营管理层审议，根据本章程规定应提交股东大会审议的，董事会审议后还应提交股东大会审议。</w:t>
      </w:r>
    </w:p>
    <w:p>
      <w:pPr>
        <w:spacing w:line="460" w:lineRule="exact"/>
        <w:ind w:firstLine="480" w:firstLineChars="200"/>
        <w:rPr>
          <w:rFonts w:eastAsia="宋体"/>
          <w:snapToGrid w:val="0"/>
          <w:spacing w:val="0"/>
          <w:sz w:val="24"/>
        </w:rPr>
      </w:pPr>
      <w:r>
        <w:rPr>
          <w:rFonts w:hint="eastAsia" w:eastAsia="宋体"/>
          <w:snapToGrid w:val="0"/>
          <w:spacing w:val="0"/>
          <w:sz w:val="24"/>
        </w:rPr>
        <w:t>应由董事会审批的对外担保、对外提供财务资助，以及公司进行股票及其衍生品投资、基金投资、期货投资的，</w:t>
      </w:r>
      <w:r>
        <w:rPr>
          <w:rFonts w:eastAsia="宋体"/>
          <w:snapToGrid w:val="0"/>
          <w:spacing w:val="0"/>
          <w:sz w:val="24"/>
        </w:rPr>
        <w:t>必须经出席董事会会议的三分之二以上董事</w:t>
      </w:r>
      <w:r>
        <w:rPr>
          <w:rFonts w:hint="eastAsia" w:hAnsi="宋体" w:eastAsia="宋体"/>
          <w:snapToGrid w:val="0"/>
          <w:spacing w:val="0"/>
          <w:szCs w:val="25"/>
        </w:rPr>
        <w:t>（其中应包括三分之二以上的独立董事）</w:t>
      </w:r>
      <w:r>
        <w:rPr>
          <w:rFonts w:eastAsia="宋体"/>
          <w:snapToGrid w:val="0"/>
          <w:spacing w:val="0"/>
          <w:sz w:val="24"/>
        </w:rPr>
        <w:t>审议同意</w:t>
      </w:r>
      <w:r>
        <w:rPr>
          <w:rFonts w:hint="eastAsia" w:eastAsia="宋体"/>
          <w:snapToGrid w:val="0"/>
          <w:spacing w:val="0"/>
          <w:sz w:val="24"/>
        </w:rPr>
        <w:t>并作出决议</w:t>
      </w:r>
      <w:r>
        <w:rPr>
          <w:rFonts w:eastAsia="宋体"/>
          <w:snapToGrid w:val="0"/>
          <w:spacing w:val="0"/>
          <w:sz w:val="24"/>
        </w:rPr>
        <w:t>。</w:t>
      </w:r>
    </w:p>
    <w:p>
      <w:pPr>
        <w:spacing w:line="460" w:lineRule="exact"/>
        <w:ind w:firstLine="480" w:firstLineChars="200"/>
        <w:rPr>
          <w:rFonts w:eastAsia="宋体"/>
          <w:snapToGrid w:val="0"/>
          <w:spacing w:val="0"/>
          <w:sz w:val="24"/>
        </w:rPr>
      </w:pPr>
      <w:r>
        <w:rPr>
          <w:rFonts w:hint="eastAsia" w:eastAsia="宋体"/>
          <w:snapToGrid w:val="0"/>
          <w:spacing w:val="0"/>
          <w:sz w:val="24"/>
        </w:rPr>
        <w:t>应由股东大会批准的事项，应提交股东大会审议批准。</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董事会设董事长一人，不设副董事长。董事长由董事会以全体董事的过半数选举产生。</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董事长行使下列职权：</w:t>
      </w:r>
      <w:r>
        <w:rPr>
          <w:rFonts w:eastAsia="宋体"/>
          <w:snapToGrid w:val="0"/>
          <w:spacing w:val="0"/>
          <w:sz w:val="24"/>
        </w:rPr>
        <w:tab/>
      </w:r>
    </w:p>
    <w:p>
      <w:pPr>
        <w:spacing w:line="460" w:lineRule="exact"/>
        <w:ind w:firstLine="480" w:firstLineChars="200"/>
        <w:rPr>
          <w:rFonts w:eastAsia="宋体"/>
          <w:snapToGrid w:val="0"/>
          <w:spacing w:val="0"/>
          <w:sz w:val="24"/>
        </w:rPr>
      </w:pPr>
      <w:r>
        <w:rPr>
          <w:rFonts w:eastAsia="宋体"/>
          <w:snapToGrid w:val="0"/>
          <w:spacing w:val="0"/>
          <w:sz w:val="24"/>
        </w:rPr>
        <w:t>（一）主持股东大会和召集、主持董事会会议；</w:t>
      </w:r>
    </w:p>
    <w:p>
      <w:pPr>
        <w:spacing w:line="460" w:lineRule="exact"/>
        <w:ind w:firstLine="480" w:firstLineChars="200"/>
        <w:rPr>
          <w:rFonts w:eastAsia="宋体"/>
          <w:snapToGrid w:val="0"/>
          <w:spacing w:val="0"/>
          <w:sz w:val="24"/>
        </w:rPr>
      </w:pPr>
      <w:r>
        <w:rPr>
          <w:rFonts w:eastAsia="宋体"/>
          <w:snapToGrid w:val="0"/>
          <w:spacing w:val="0"/>
          <w:sz w:val="24"/>
        </w:rPr>
        <w:t>（二）督促、检查董事会决议的执行；</w:t>
      </w:r>
    </w:p>
    <w:p>
      <w:pPr>
        <w:spacing w:line="460" w:lineRule="exact"/>
        <w:ind w:firstLine="480" w:firstLineChars="200"/>
        <w:rPr>
          <w:rFonts w:eastAsia="宋体"/>
          <w:snapToGrid w:val="0"/>
          <w:spacing w:val="0"/>
          <w:sz w:val="24"/>
        </w:rPr>
      </w:pPr>
      <w:r>
        <w:rPr>
          <w:rFonts w:hint="eastAsia" w:eastAsia="宋体"/>
          <w:snapToGrid w:val="0"/>
          <w:spacing w:val="0"/>
          <w:sz w:val="24"/>
        </w:rPr>
        <w:t>（三）董事会授予的其他职权。</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董事长不能履行职务或者不履行职务的，由半数以上董事共同推举一名董事履行董事长职务。</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董事会每</w:t>
      </w:r>
      <w:r>
        <w:rPr>
          <w:rFonts w:hint="eastAsia" w:eastAsia="宋体"/>
          <w:snapToGrid w:val="0"/>
          <w:spacing w:val="0"/>
          <w:sz w:val="24"/>
        </w:rPr>
        <w:t>年度至少召开两次会议</w:t>
      </w:r>
      <w:r>
        <w:rPr>
          <w:rFonts w:eastAsia="宋体"/>
          <w:snapToGrid w:val="0"/>
          <w:spacing w:val="0"/>
          <w:sz w:val="24"/>
        </w:rPr>
        <w:t>，由董事长召集，于会议召开十日以前书面通知全体董事和监事。</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代表十分之一以上表决权的股东、三分之一以上董事或者监事会，可以提议召开董事会临时会议。董事长应当自接到提议后十日内，召集和主持董事会会议。</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董事会召开临时董事会会议</w:t>
      </w:r>
      <w:r>
        <w:rPr>
          <w:rFonts w:hint="eastAsia" w:eastAsia="宋体"/>
          <w:snapToGrid w:val="0"/>
          <w:spacing w:val="0"/>
          <w:sz w:val="24"/>
        </w:rPr>
        <w:t>，应当在会议召开三日之前以信函、传真、电子邮件等书面方式</w:t>
      </w:r>
      <w:r>
        <w:rPr>
          <w:rFonts w:eastAsia="宋体"/>
          <w:snapToGrid w:val="0"/>
          <w:spacing w:val="0"/>
          <w:sz w:val="24"/>
        </w:rPr>
        <w:t>通知全体董事。</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董事会会议通知包括以下内容：</w:t>
      </w:r>
    </w:p>
    <w:p>
      <w:pPr>
        <w:spacing w:line="460" w:lineRule="exact"/>
        <w:ind w:firstLine="480" w:firstLineChars="200"/>
        <w:rPr>
          <w:rFonts w:eastAsia="宋体"/>
          <w:snapToGrid w:val="0"/>
          <w:spacing w:val="0"/>
          <w:sz w:val="24"/>
        </w:rPr>
      </w:pPr>
      <w:r>
        <w:rPr>
          <w:rFonts w:eastAsia="宋体"/>
          <w:snapToGrid w:val="0"/>
          <w:spacing w:val="0"/>
          <w:sz w:val="24"/>
        </w:rPr>
        <w:t>（一）会议日期和地点；</w:t>
      </w:r>
    </w:p>
    <w:p>
      <w:pPr>
        <w:spacing w:line="460" w:lineRule="exact"/>
        <w:ind w:firstLine="480" w:firstLineChars="200"/>
        <w:rPr>
          <w:rFonts w:eastAsia="宋体"/>
          <w:snapToGrid w:val="0"/>
          <w:spacing w:val="0"/>
          <w:sz w:val="24"/>
        </w:rPr>
      </w:pPr>
      <w:r>
        <w:rPr>
          <w:rFonts w:eastAsia="宋体"/>
          <w:snapToGrid w:val="0"/>
          <w:spacing w:val="0"/>
          <w:sz w:val="24"/>
        </w:rPr>
        <w:t>（二）会议期限；</w:t>
      </w:r>
    </w:p>
    <w:p>
      <w:pPr>
        <w:spacing w:line="460" w:lineRule="exact"/>
        <w:ind w:firstLine="480" w:firstLineChars="200"/>
        <w:rPr>
          <w:rFonts w:eastAsia="宋体"/>
          <w:snapToGrid w:val="0"/>
          <w:spacing w:val="0"/>
          <w:sz w:val="24"/>
        </w:rPr>
      </w:pPr>
      <w:r>
        <w:rPr>
          <w:rFonts w:eastAsia="宋体"/>
          <w:snapToGrid w:val="0"/>
          <w:spacing w:val="0"/>
          <w:sz w:val="24"/>
        </w:rPr>
        <w:t>（三）事由及议题；</w:t>
      </w:r>
    </w:p>
    <w:p>
      <w:pPr>
        <w:spacing w:line="460" w:lineRule="exact"/>
        <w:ind w:firstLine="480" w:firstLineChars="200"/>
        <w:rPr>
          <w:rFonts w:eastAsia="宋体"/>
          <w:snapToGrid w:val="0"/>
          <w:spacing w:val="0"/>
          <w:sz w:val="24"/>
        </w:rPr>
      </w:pPr>
      <w:r>
        <w:rPr>
          <w:rFonts w:eastAsia="宋体"/>
          <w:snapToGrid w:val="0"/>
          <w:spacing w:val="0"/>
          <w:sz w:val="24"/>
        </w:rPr>
        <w:t>（四）发出通知的日期。</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董事会会议应有过半数的董事出席方可举行。董事会作出决议，必须经全体董事的过半数通过。</w:t>
      </w:r>
    </w:p>
    <w:p>
      <w:pPr>
        <w:spacing w:line="460" w:lineRule="exact"/>
        <w:ind w:firstLine="480" w:firstLineChars="200"/>
        <w:rPr>
          <w:rFonts w:eastAsia="宋体"/>
          <w:snapToGrid w:val="0"/>
          <w:spacing w:val="0"/>
          <w:sz w:val="24"/>
        </w:rPr>
      </w:pPr>
      <w:r>
        <w:rPr>
          <w:rFonts w:eastAsia="宋体"/>
          <w:snapToGrid w:val="0"/>
          <w:spacing w:val="0"/>
          <w:sz w:val="24"/>
        </w:rPr>
        <w:t>董事会决议的表决，实行一人一票。</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董事与董事会会议决议事项所涉及的企业有关联关系的</w:t>
      </w:r>
      <w:r>
        <w:rPr>
          <w:rFonts w:hint="eastAsia" w:eastAsia="宋体"/>
          <w:snapToGrid w:val="0"/>
          <w:spacing w:val="0"/>
          <w:sz w:val="24"/>
        </w:rPr>
        <w:t>，</w:t>
      </w:r>
      <w:r>
        <w:rPr>
          <w:rFonts w:eastAsia="宋体"/>
          <w:snapToGrid w:val="0"/>
          <w:spacing w:val="0"/>
          <w:sz w:val="24"/>
        </w:rPr>
        <w:t>不得对该项决议行使表决权，也不得代理其他董事行使表决权。该董事会会议由过半数的无关联关系董事出席即可举行，董事会会议所作决议须经无关联关系董事过半数通过。出席董事会的无关联董事人数不足三人的，应将该事项提交股东大会审议。</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董事会决议采取书面记名投票方式表决。</w:t>
      </w:r>
    </w:p>
    <w:p>
      <w:pPr>
        <w:spacing w:line="460" w:lineRule="exact"/>
        <w:ind w:firstLine="480" w:firstLineChars="200"/>
        <w:rPr>
          <w:rFonts w:eastAsia="宋体"/>
          <w:snapToGrid w:val="0"/>
          <w:spacing w:val="0"/>
          <w:sz w:val="24"/>
        </w:rPr>
      </w:pPr>
      <w:r>
        <w:rPr>
          <w:rFonts w:eastAsia="宋体"/>
          <w:snapToGrid w:val="0"/>
          <w:spacing w:val="0"/>
          <w:sz w:val="24"/>
        </w:rPr>
        <w:t>董事会临时会议在保障董事充分表达意见的前提下，可以用电话会议、视频会议、传真、数据电文、信函等进行并作出决议，并由参会董事签字。</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董事会应当对会议所议事项的决定做成会议记录，出席会议的董事</w:t>
      </w:r>
      <w:r>
        <w:rPr>
          <w:rFonts w:hint="eastAsia" w:eastAsia="宋体"/>
          <w:snapToGrid w:val="0"/>
          <w:spacing w:val="0"/>
          <w:sz w:val="24"/>
        </w:rPr>
        <w:t>、董事会秘书和记录人员</w:t>
      </w:r>
      <w:r>
        <w:rPr>
          <w:rFonts w:eastAsia="宋体"/>
          <w:snapToGrid w:val="0"/>
          <w:spacing w:val="0"/>
          <w:sz w:val="24"/>
        </w:rPr>
        <w:t>应当在会议记录上签名。</w:t>
      </w:r>
    </w:p>
    <w:p>
      <w:pPr>
        <w:spacing w:line="460" w:lineRule="exact"/>
        <w:ind w:firstLine="480" w:firstLineChars="200"/>
        <w:rPr>
          <w:rFonts w:eastAsia="宋体"/>
          <w:snapToGrid w:val="0"/>
          <w:spacing w:val="0"/>
          <w:sz w:val="24"/>
        </w:rPr>
      </w:pPr>
      <w:r>
        <w:rPr>
          <w:rFonts w:eastAsia="宋体"/>
          <w:snapToGrid w:val="0"/>
          <w:spacing w:val="0"/>
          <w:sz w:val="24"/>
        </w:rPr>
        <w:t>董事会会议记录作为公司档案保存，保存期限不少于十年。</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董事会会议记录包括以下内容：</w:t>
      </w:r>
    </w:p>
    <w:p>
      <w:pPr>
        <w:spacing w:line="460" w:lineRule="exact"/>
        <w:ind w:firstLine="480" w:firstLineChars="200"/>
        <w:rPr>
          <w:rFonts w:eastAsia="宋体"/>
          <w:snapToGrid w:val="0"/>
          <w:spacing w:val="0"/>
          <w:sz w:val="24"/>
        </w:rPr>
      </w:pPr>
      <w:r>
        <w:rPr>
          <w:rFonts w:eastAsia="宋体"/>
          <w:snapToGrid w:val="0"/>
          <w:spacing w:val="0"/>
          <w:sz w:val="24"/>
        </w:rPr>
        <w:t>（一）会议召开的日期、地点和召集人姓名；</w:t>
      </w:r>
    </w:p>
    <w:p>
      <w:pPr>
        <w:spacing w:line="460" w:lineRule="exact"/>
        <w:ind w:firstLine="480" w:firstLineChars="200"/>
        <w:rPr>
          <w:rFonts w:eastAsia="宋体"/>
          <w:snapToGrid w:val="0"/>
          <w:spacing w:val="0"/>
          <w:sz w:val="24"/>
        </w:rPr>
      </w:pPr>
      <w:r>
        <w:rPr>
          <w:rFonts w:eastAsia="宋体"/>
          <w:snapToGrid w:val="0"/>
          <w:spacing w:val="0"/>
          <w:sz w:val="24"/>
        </w:rPr>
        <w:t>（二）出席董事的姓名以及受他人委托出席董事会的董事（代理人）姓名；</w:t>
      </w:r>
    </w:p>
    <w:p>
      <w:pPr>
        <w:spacing w:line="460" w:lineRule="exact"/>
        <w:ind w:firstLine="480" w:firstLineChars="200"/>
        <w:rPr>
          <w:rFonts w:eastAsia="宋体"/>
          <w:snapToGrid w:val="0"/>
          <w:spacing w:val="0"/>
          <w:sz w:val="24"/>
        </w:rPr>
      </w:pPr>
      <w:r>
        <w:rPr>
          <w:rFonts w:eastAsia="宋体"/>
          <w:snapToGrid w:val="0"/>
          <w:spacing w:val="0"/>
          <w:sz w:val="24"/>
        </w:rPr>
        <w:t>（三）会议议程；</w:t>
      </w:r>
    </w:p>
    <w:p>
      <w:pPr>
        <w:spacing w:line="460" w:lineRule="exact"/>
        <w:ind w:firstLine="480" w:firstLineChars="200"/>
        <w:rPr>
          <w:rFonts w:eastAsia="宋体"/>
          <w:snapToGrid w:val="0"/>
          <w:spacing w:val="0"/>
          <w:sz w:val="24"/>
        </w:rPr>
      </w:pPr>
      <w:r>
        <w:rPr>
          <w:rFonts w:eastAsia="宋体"/>
          <w:snapToGrid w:val="0"/>
          <w:spacing w:val="0"/>
          <w:sz w:val="24"/>
        </w:rPr>
        <w:t>（四）董事发言要点；</w:t>
      </w:r>
    </w:p>
    <w:p>
      <w:pPr>
        <w:spacing w:line="460" w:lineRule="exact"/>
        <w:ind w:firstLine="480" w:firstLineChars="200"/>
        <w:rPr>
          <w:rFonts w:eastAsia="宋体"/>
          <w:snapToGrid w:val="0"/>
          <w:spacing w:val="0"/>
          <w:sz w:val="24"/>
        </w:rPr>
      </w:pPr>
      <w:r>
        <w:rPr>
          <w:rFonts w:eastAsia="宋体"/>
          <w:snapToGrid w:val="0"/>
          <w:spacing w:val="0"/>
          <w:sz w:val="24"/>
        </w:rPr>
        <w:t>（五）每一决议事项的表决方式和结果（表决结果应载明赞成、反对</w:t>
      </w:r>
      <w:r>
        <w:rPr>
          <w:rFonts w:hint="eastAsia" w:eastAsia="宋体"/>
          <w:snapToGrid w:val="0"/>
          <w:spacing w:val="0"/>
          <w:sz w:val="24"/>
        </w:rPr>
        <w:t>、</w:t>
      </w:r>
      <w:r>
        <w:rPr>
          <w:rFonts w:eastAsia="宋体"/>
          <w:snapToGrid w:val="0"/>
          <w:spacing w:val="0"/>
          <w:sz w:val="24"/>
        </w:rPr>
        <w:t>弃权的票数）。</w:t>
      </w:r>
    </w:p>
    <w:p>
      <w:pPr>
        <w:pStyle w:val="35"/>
        <w:tabs>
          <w:tab w:val="left" w:pos="1050"/>
          <w:tab w:val="clear" w:pos="1533"/>
        </w:tabs>
        <w:spacing w:before="120" w:after="0" w:line="460" w:lineRule="exact"/>
        <w:ind w:hanging="2"/>
        <w:rPr>
          <w:rFonts w:eastAsia="宋体"/>
          <w:b/>
          <w:snapToGrid w:val="0"/>
          <w:spacing w:val="0"/>
          <w:sz w:val="24"/>
          <w:szCs w:val="24"/>
        </w:rPr>
      </w:pPr>
      <w:bookmarkStart w:id="110" w:name="_Toc13937"/>
      <w:bookmarkStart w:id="111" w:name="_Toc15768"/>
      <w:bookmarkStart w:id="112" w:name="_Toc511054564"/>
      <w:bookmarkStart w:id="113" w:name="_Toc22323"/>
      <w:r>
        <w:rPr>
          <w:rFonts w:hint="eastAsia" w:eastAsia="宋体"/>
          <w:b/>
          <w:snapToGrid w:val="0"/>
          <w:spacing w:val="0"/>
          <w:sz w:val="24"/>
          <w:szCs w:val="24"/>
        </w:rPr>
        <w:t>董事会专门委员会</w:t>
      </w:r>
      <w:bookmarkEnd w:id="110"/>
      <w:bookmarkEnd w:id="111"/>
      <w:bookmarkEnd w:id="112"/>
      <w:bookmarkEnd w:id="113"/>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会设立审计委员会，并根据需要设立战略委员会、提名委员会、薪酬与考核委员会、安全管理及技术创新委员会等专门委员会。各专门委员会在董事会授权下开展工作，为董事会的决策提供咨询意见，对董事会负责，依照本章程和董事会授权履行职责，提案应当提交董事会审议决定。专门委员会的组成和职能由董事会确定，董事会负责制定专门委员会工作规程，规范专门委员会的运作。专门委员会应当向董事会提交工作报告。</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专门委员会成员全部由董事组成，其中审计委员会、提名委员会、薪酬与考核委员会中独立董事占多数并担任召集人，审计委员会的召集人为会计专业人士。</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各专门委员会可以聘请外部专业人士提供服务，由此发生的合理费用由公司承担。</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审计委员会的主要职责包括：</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（一）监督及评估外部审计工作，提议聘请或者更换外部审计机构；</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（二）监督及评估内部审计工作，负责内部审计与外部审计的协调；</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（三）审核公司的财务信息及其披露；</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（四）监督及评估公司的内部控制；</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（五）负责法律法规、公司章程和董事会授权的其他事项。</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战略委员会的主要职责是对公司长期发展战略和重大投资决策进行研究并提出建议。</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提名委员会的主要职责包括：</w:t>
      </w:r>
    </w:p>
    <w:p>
      <w:pPr>
        <w:numPr>
          <w:ilvl w:val="255"/>
          <w:numId w:val="0"/>
        </w:numPr>
        <w:spacing w:line="460" w:lineRule="exact"/>
        <w:ind w:firstLine="480" w:firstLineChars="200"/>
        <w:rPr>
          <w:rFonts w:eastAsia="宋体"/>
          <w:snapToGrid w:val="0"/>
          <w:spacing w:val="0"/>
          <w:sz w:val="24"/>
        </w:rPr>
      </w:pPr>
      <w:r>
        <w:rPr>
          <w:rFonts w:hint="eastAsia" w:eastAsia="宋体"/>
          <w:snapToGrid w:val="0"/>
          <w:spacing w:val="0"/>
          <w:sz w:val="24"/>
        </w:rPr>
        <w:t>（一）研究董事、高级管理人员的选择标准和程序并提出建议；</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（二）遴选合格的董事人选和高级管理人员人选；</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（三）对董事人选和高级管理人员人选进行审核并提出建议。</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薪酬与考核委员会的主要职责包括：</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（一）研究董事与高级管理人员考核的标准，进行考核并提出建议；</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（二）研究和审查董事、高级管理人员的薪酬政策与方案。</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安全管理及技术创新委员会的主要职责包括：</w:t>
      </w:r>
    </w:p>
    <w:p>
      <w:pPr>
        <w:numPr>
          <w:ilvl w:val="255"/>
          <w:numId w:val="0"/>
        </w:numPr>
        <w:tabs>
          <w:tab w:val="left" w:pos="1048"/>
        </w:tabs>
        <w:spacing w:line="460" w:lineRule="exact"/>
        <w:ind w:left="6" w:firstLine="420" w:firstLineChars="175"/>
        <w:rPr>
          <w:rFonts w:eastAsia="宋体"/>
          <w:snapToGrid w:val="0"/>
          <w:spacing w:val="0"/>
          <w:sz w:val="24"/>
        </w:rPr>
      </w:pPr>
      <w:r>
        <w:rPr>
          <w:rFonts w:hint="eastAsia" w:eastAsia="宋体"/>
          <w:snapToGrid w:val="0"/>
          <w:spacing w:val="0"/>
          <w:sz w:val="24"/>
        </w:rPr>
        <w:t>（一）根据相关法律、法规及有关安全生产的规章制度，研究确定公司安全管理及技术创新的长远规划、年度计划和阶段性安全工作安排，组织制定安全生产管理、技术创新实施方案、办法和措施，并负责指导、监督、检查和实施；</w:t>
      </w:r>
    </w:p>
    <w:p>
      <w:pPr>
        <w:numPr>
          <w:ilvl w:val="255"/>
          <w:numId w:val="0"/>
        </w:numPr>
        <w:tabs>
          <w:tab w:val="left" w:pos="0"/>
          <w:tab w:val="left" w:pos="262"/>
        </w:tabs>
        <w:spacing w:line="460" w:lineRule="exact"/>
        <w:ind w:left="6" w:firstLine="420" w:firstLineChars="175"/>
        <w:rPr>
          <w:rFonts w:eastAsia="宋体"/>
          <w:snapToGrid w:val="0"/>
          <w:spacing w:val="0"/>
          <w:sz w:val="24"/>
        </w:rPr>
      </w:pPr>
      <w:r>
        <w:rPr>
          <w:rFonts w:hint="eastAsia" w:eastAsia="宋体"/>
          <w:snapToGrid w:val="0"/>
          <w:spacing w:val="0"/>
          <w:sz w:val="24"/>
        </w:rPr>
        <w:t>（二）对公司的重大安全生产配套资金投入及重大技术改造投入方案进行研究并提出建议；</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（三）监督各子公司安全管理及技术创新投入计划的制定和监督、检查各子公司安全管理及技术创新情况，针对存在的问题和隐患，督促落实整改措施，及时进行整改；</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（四）组织公司综合性、专题性的安全生产工作检查，建立完善内、外部安全生产检查工作体系，确保安全生产工作高度透明，规范有序；</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（五）定期召开会议，分析安全管理及技术创新工作存在的问题，制定详细的整改及技术创新措施，明确责任及完成时限，并追踪落实效果。</w:t>
      </w:r>
    </w:p>
    <w:p>
      <w:pPr>
        <w:pStyle w:val="35"/>
        <w:tabs>
          <w:tab w:val="left" w:pos="1050"/>
          <w:tab w:val="clear" w:pos="1533"/>
        </w:tabs>
        <w:spacing w:before="120" w:after="0" w:line="460" w:lineRule="exact"/>
        <w:ind w:hanging="2"/>
        <w:rPr>
          <w:rFonts w:eastAsia="宋体"/>
          <w:b/>
          <w:snapToGrid w:val="0"/>
          <w:spacing w:val="0"/>
          <w:sz w:val="24"/>
          <w:szCs w:val="24"/>
        </w:rPr>
      </w:pPr>
      <w:bookmarkStart w:id="114" w:name="_Toc19673"/>
      <w:bookmarkStart w:id="115" w:name="_Toc30100"/>
      <w:bookmarkStart w:id="116" w:name="_Toc30179"/>
      <w:r>
        <w:rPr>
          <w:rFonts w:hint="eastAsia" w:eastAsia="宋体"/>
          <w:b/>
          <w:snapToGrid w:val="0"/>
          <w:spacing w:val="0"/>
          <w:sz w:val="24"/>
          <w:szCs w:val="24"/>
        </w:rPr>
        <w:t>独立董事</w:t>
      </w:r>
      <w:bookmarkEnd w:id="114"/>
      <w:bookmarkEnd w:id="115"/>
      <w:bookmarkEnd w:id="116"/>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公司建立独立董事制度，独立董事人数不少于董事会人数的三分之一，其中至少有一名会计专业人士。</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独立董事对公司及全体股东负有诚信与勤勉义务。独立董事应当按照相关法律法规、规范性文件和本章程的要求，认真履行职责，维护公司整体利益。</w:t>
      </w:r>
    </w:p>
    <w:p>
      <w:pPr>
        <w:spacing w:line="460" w:lineRule="exact"/>
        <w:rPr>
          <w:rFonts w:eastAsia="宋体"/>
          <w:snapToGrid w:val="0"/>
          <w:spacing w:val="0"/>
          <w:sz w:val="24"/>
        </w:rPr>
      </w:pPr>
      <w:r>
        <w:rPr>
          <w:rFonts w:hint="eastAsia" w:eastAsia="宋体"/>
          <w:snapToGrid w:val="0"/>
          <w:spacing w:val="0"/>
          <w:sz w:val="24"/>
        </w:rPr>
        <w:t xml:space="preserve">    独立董事应当独立公正地履行职责，不受公司主要股东、实际控制人或者其他与公司存在利害关系的单位或个人的影响。</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担任独立董事应当符合下列基本条件：</w:t>
      </w:r>
    </w:p>
    <w:p>
      <w:pPr>
        <w:spacing w:line="460" w:lineRule="exact"/>
        <w:ind w:firstLine="480"/>
        <w:rPr>
          <w:rFonts w:eastAsia="宋体"/>
          <w:snapToGrid w:val="0"/>
          <w:spacing w:val="0"/>
          <w:sz w:val="24"/>
        </w:rPr>
      </w:pPr>
      <w:r>
        <w:rPr>
          <w:rFonts w:hint="eastAsia" w:eastAsia="宋体"/>
          <w:snapToGrid w:val="0"/>
          <w:spacing w:val="0"/>
          <w:sz w:val="24"/>
        </w:rPr>
        <w:t>（一）根据法律、法规、规范性文件及其他有关规定，具备担任公司董事的资格；</w:t>
      </w:r>
    </w:p>
    <w:p>
      <w:pPr>
        <w:spacing w:line="460" w:lineRule="exact"/>
        <w:ind w:firstLine="480"/>
        <w:rPr>
          <w:rFonts w:eastAsia="宋体"/>
          <w:snapToGrid w:val="0"/>
          <w:spacing w:val="0"/>
          <w:sz w:val="24"/>
        </w:rPr>
      </w:pPr>
      <w:r>
        <w:rPr>
          <w:rFonts w:hint="eastAsia" w:eastAsia="宋体"/>
          <w:snapToGrid w:val="0"/>
          <w:spacing w:val="0"/>
          <w:sz w:val="24"/>
        </w:rPr>
        <w:t>（二）具备相关法律、法规及其他规范性文件所要求的独立性；</w:t>
      </w:r>
    </w:p>
    <w:p>
      <w:pPr>
        <w:spacing w:line="460" w:lineRule="exact"/>
        <w:ind w:firstLine="480"/>
        <w:rPr>
          <w:rFonts w:eastAsia="宋体"/>
          <w:snapToGrid w:val="0"/>
          <w:spacing w:val="0"/>
          <w:sz w:val="24"/>
        </w:rPr>
      </w:pPr>
      <w:r>
        <w:rPr>
          <w:rFonts w:hint="eastAsia" w:eastAsia="宋体"/>
          <w:snapToGrid w:val="0"/>
          <w:spacing w:val="0"/>
          <w:sz w:val="24"/>
        </w:rPr>
        <w:t>（三）具备上市公司运作的基本知识，熟悉相关法律、法规及其他规范性文件；</w:t>
      </w:r>
    </w:p>
    <w:p>
      <w:pPr>
        <w:spacing w:line="460" w:lineRule="exact"/>
        <w:ind w:firstLine="480"/>
        <w:rPr>
          <w:rFonts w:eastAsia="宋体"/>
          <w:snapToGrid w:val="0"/>
          <w:spacing w:val="0"/>
          <w:sz w:val="24"/>
        </w:rPr>
      </w:pPr>
      <w:r>
        <w:rPr>
          <w:rFonts w:hint="eastAsia" w:eastAsia="宋体"/>
          <w:snapToGrid w:val="0"/>
          <w:spacing w:val="0"/>
          <w:sz w:val="24"/>
        </w:rPr>
        <w:t>（四）具备履行独立董事职责所必需的工作经验；</w:t>
      </w:r>
    </w:p>
    <w:p>
      <w:pPr>
        <w:spacing w:line="460" w:lineRule="exact"/>
        <w:ind w:firstLine="480"/>
        <w:rPr>
          <w:rFonts w:eastAsia="宋体"/>
          <w:snapToGrid w:val="0"/>
          <w:spacing w:val="0"/>
          <w:sz w:val="24"/>
        </w:rPr>
      </w:pPr>
      <w:r>
        <w:rPr>
          <w:rFonts w:hint="eastAsia" w:eastAsia="宋体"/>
          <w:snapToGrid w:val="0"/>
          <w:spacing w:val="0"/>
          <w:sz w:val="24"/>
        </w:rPr>
        <w:t>（五）公司章程规定的其他条件。</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 xml:space="preserve">独立董事每届任期与公司其他董事任期相同，任期届满，连选可以连任，但是连任时间不得超过六年。 </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 xml:space="preserve">独立董事在任期届满前可以提出辞职。独立董事辞职应当向董事会提交书面辞职报告，并对任何与其辞职有关或者其认为有必要引起公司股东和债权人注意的情况进行说明。 </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独立董事辞职导致独立董事成员或董事会成员低于法定或本章程规定最低人数的，在改选的独立董事就任前，独立董事仍应当按照法律、法规、规范性文件及本章程的规定履行职务。</w:t>
      </w:r>
    </w:p>
    <w:p>
      <w:pPr>
        <w:pStyle w:val="2"/>
        <w:numPr>
          <w:ilvl w:val="0"/>
          <w:numId w:val="0"/>
        </w:numPr>
        <w:spacing w:before="120" w:after="0" w:line="460" w:lineRule="exact"/>
        <w:ind w:left="2"/>
        <w:rPr>
          <w:rFonts w:eastAsia="宋体"/>
          <w:b/>
          <w:spacing w:val="0"/>
          <w:kern w:val="0"/>
          <w:sz w:val="30"/>
          <w:szCs w:val="30"/>
        </w:rPr>
      </w:pPr>
      <w:bookmarkStart w:id="117" w:name="_Toc422141931"/>
      <w:bookmarkStart w:id="118" w:name="_Toc1572"/>
      <w:bookmarkStart w:id="119" w:name="_Toc511054565"/>
      <w:bookmarkStart w:id="120" w:name="_Toc203475067"/>
      <w:bookmarkStart w:id="121" w:name="_Toc30462"/>
      <w:bookmarkStart w:id="122" w:name="_Toc30816"/>
      <w:bookmarkStart w:id="123" w:name="_Toc24323"/>
      <w:r>
        <w:rPr>
          <w:rFonts w:eastAsia="宋体"/>
          <w:b/>
          <w:spacing w:val="0"/>
          <w:kern w:val="0"/>
          <w:sz w:val="30"/>
          <w:szCs w:val="30"/>
        </w:rPr>
        <w:t xml:space="preserve">第六章  </w:t>
      </w:r>
      <w:r>
        <w:rPr>
          <w:rFonts w:hint="eastAsia" w:eastAsia="宋体"/>
          <w:b/>
          <w:spacing w:val="0"/>
          <w:kern w:val="0"/>
          <w:sz w:val="30"/>
          <w:szCs w:val="30"/>
        </w:rPr>
        <w:t>总经理</w:t>
      </w:r>
      <w:r>
        <w:rPr>
          <w:rFonts w:eastAsia="宋体"/>
          <w:b/>
          <w:spacing w:val="0"/>
          <w:kern w:val="0"/>
          <w:sz w:val="30"/>
          <w:szCs w:val="30"/>
        </w:rPr>
        <w:t>及其他高级管理人员</w:t>
      </w:r>
      <w:bookmarkEnd w:id="117"/>
      <w:bookmarkEnd w:id="118"/>
      <w:bookmarkEnd w:id="119"/>
      <w:bookmarkEnd w:id="120"/>
      <w:bookmarkEnd w:id="121"/>
      <w:bookmarkEnd w:id="122"/>
      <w:bookmarkEnd w:id="123"/>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公司设</w:t>
      </w:r>
      <w:r>
        <w:rPr>
          <w:rFonts w:hint="eastAsia" w:eastAsia="宋体"/>
          <w:snapToGrid w:val="0"/>
          <w:spacing w:val="0"/>
          <w:sz w:val="24"/>
        </w:rPr>
        <w:t>总经理</w:t>
      </w:r>
      <w:r>
        <w:rPr>
          <w:rFonts w:eastAsia="宋体"/>
          <w:snapToGrid w:val="0"/>
          <w:spacing w:val="0"/>
          <w:sz w:val="24"/>
        </w:rPr>
        <w:t>一名，</w:t>
      </w:r>
      <w:r>
        <w:rPr>
          <w:rFonts w:hint="eastAsia" w:eastAsia="宋体"/>
          <w:snapToGrid w:val="0"/>
          <w:spacing w:val="0"/>
          <w:sz w:val="24"/>
        </w:rPr>
        <w:t>由董事会提名，</w:t>
      </w:r>
      <w:r>
        <w:rPr>
          <w:rFonts w:eastAsia="宋体"/>
          <w:snapToGrid w:val="0"/>
          <w:spacing w:val="0"/>
          <w:sz w:val="24"/>
        </w:rPr>
        <w:t>董事会聘任或解聘</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公司设</w:t>
      </w:r>
      <w:r>
        <w:rPr>
          <w:rFonts w:hint="eastAsia" w:eastAsia="宋体"/>
          <w:snapToGrid w:val="0"/>
          <w:spacing w:val="0"/>
          <w:sz w:val="24"/>
        </w:rPr>
        <w:t>高级副总经理、副总经理若干名，由总经理提名，</w:t>
      </w:r>
      <w:r>
        <w:rPr>
          <w:rFonts w:eastAsia="宋体"/>
          <w:snapToGrid w:val="0"/>
          <w:spacing w:val="0"/>
          <w:sz w:val="24"/>
        </w:rPr>
        <w:t>董事会聘任或解聘</w:t>
      </w:r>
      <w:r>
        <w:rPr>
          <w:rFonts w:hint="eastAsia" w:eastAsia="宋体"/>
          <w:snapToGrid w:val="0"/>
          <w:spacing w:val="0"/>
          <w:sz w:val="24"/>
        </w:rPr>
        <w:t>。</w:t>
      </w:r>
    </w:p>
    <w:p>
      <w:pPr>
        <w:spacing w:line="460" w:lineRule="exact"/>
        <w:ind w:firstLine="480" w:firstLineChars="200"/>
        <w:rPr>
          <w:rFonts w:eastAsia="宋体"/>
          <w:snapToGrid w:val="0"/>
          <w:spacing w:val="0"/>
          <w:sz w:val="24"/>
        </w:rPr>
      </w:pPr>
      <w:r>
        <w:rPr>
          <w:rFonts w:eastAsia="宋体"/>
          <w:snapToGrid w:val="0"/>
          <w:spacing w:val="0"/>
          <w:sz w:val="24"/>
        </w:rPr>
        <w:t>公司</w:t>
      </w:r>
      <w:r>
        <w:rPr>
          <w:rFonts w:hint="eastAsia" w:eastAsia="宋体"/>
          <w:snapToGrid w:val="0"/>
          <w:spacing w:val="0"/>
          <w:sz w:val="24"/>
        </w:rPr>
        <w:t>总经理</w:t>
      </w:r>
      <w:r>
        <w:rPr>
          <w:rFonts w:eastAsia="宋体"/>
          <w:snapToGrid w:val="0"/>
          <w:spacing w:val="0"/>
          <w:sz w:val="24"/>
        </w:rPr>
        <w:t>、</w:t>
      </w:r>
      <w:r>
        <w:rPr>
          <w:rFonts w:hint="eastAsia" w:eastAsia="宋体"/>
          <w:snapToGrid w:val="0"/>
          <w:spacing w:val="0"/>
          <w:sz w:val="24"/>
        </w:rPr>
        <w:t>高级副总经理、</w:t>
      </w:r>
      <w:r>
        <w:rPr>
          <w:rFonts w:eastAsia="宋体"/>
          <w:snapToGrid w:val="0"/>
          <w:spacing w:val="0"/>
          <w:sz w:val="24"/>
        </w:rPr>
        <w:t>副</w:t>
      </w:r>
      <w:r>
        <w:rPr>
          <w:rFonts w:hint="eastAsia" w:eastAsia="宋体"/>
          <w:snapToGrid w:val="0"/>
          <w:spacing w:val="0"/>
          <w:sz w:val="24"/>
        </w:rPr>
        <w:t>总经理、财务负责人</w:t>
      </w:r>
      <w:r>
        <w:rPr>
          <w:rFonts w:eastAsia="宋体"/>
          <w:snapToGrid w:val="0"/>
          <w:spacing w:val="0"/>
          <w:sz w:val="24"/>
        </w:rPr>
        <w:t>、董事会秘书为公司高级管理人员。</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本章程第</w:t>
      </w:r>
      <w:r>
        <w:rPr>
          <w:rFonts w:hint="eastAsia" w:eastAsia="宋体"/>
          <w:snapToGrid w:val="0"/>
          <w:spacing w:val="0"/>
          <w:sz w:val="24"/>
        </w:rPr>
        <w:t>九十五</w:t>
      </w:r>
      <w:r>
        <w:rPr>
          <w:rFonts w:eastAsia="宋体"/>
          <w:snapToGrid w:val="0"/>
          <w:spacing w:val="0"/>
          <w:sz w:val="24"/>
        </w:rPr>
        <w:t>条关于不得担任董事的情形，同时适用于高级管理人员。</w:t>
      </w:r>
    </w:p>
    <w:p>
      <w:pPr>
        <w:spacing w:line="460" w:lineRule="exact"/>
        <w:ind w:firstLine="480" w:firstLineChars="200"/>
        <w:rPr>
          <w:rFonts w:eastAsia="宋体"/>
          <w:snapToGrid w:val="0"/>
          <w:spacing w:val="0"/>
          <w:sz w:val="24"/>
        </w:rPr>
      </w:pPr>
      <w:r>
        <w:rPr>
          <w:rFonts w:eastAsia="宋体"/>
          <w:snapToGrid w:val="0"/>
          <w:spacing w:val="0"/>
          <w:sz w:val="24"/>
        </w:rPr>
        <w:t>本章程第九十</w:t>
      </w:r>
      <w:r>
        <w:rPr>
          <w:rFonts w:hint="eastAsia" w:eastAsia="宋体"/>
          <w:snapToGrid w:val="0"/>
          <w:spacing w:val="0"/>
          <w:sz w:val="24"/>
        </w:rPr>
        <w:t>七</w:t>
      </w:r>
      <w:r>
        <w:rPr>
          <w:rFonts w:eastAsia="宋体"/>
          <w:snapToGrid w:val="0"/>
          <w:spacing w:val="0"/>
          <w:sz w:val="24"/>
        </w:rPr>
        <w:t>条关于董事的忠实义务和第九十</w:t>
      </w:r>
      <w:r>
        <w:rPr>
          <w:rFonts w:hint="eastAsia" w:eastAsia="宋体"/>
          <w:snapToGrid w:val="0"/>
          <w:spacing w:val="0"/>
          <w:sz w:val="24"/>
        </w:rPr>
        <w:t>八</w:t>
      </w:r>
      <w:r>
        <w:rPr>
          <w:rFonts w:eastAsia="宋体"/>
          <w:snapToGrid w:val="0"/>
          <w:spacing w:val="0"/>
          <w:sz w:val="24"/>
        </w:rPr>
        <w:t>条第（四）～（六）款关于勤勉义务的规定，同时适用于高级管理人员。</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在公司控股股东单位担任除董事、监事以外其他行政职务的人员，不得担任公司的高级管理人员。</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总经理</w:t>
      </w:r>
      <w:r>
        <w:rPr>
          <w:rFonts w:eastAsia="宋体"/>
          <w:snapToGrid w:val="0"/>
          <w:spacing w:val="0"/>
          <w:sz w:val="24"/>
        </w:rPr>
        <w:t>每届任期三年，</w:t>
      </w:r>
      <w:r>
        <w:rPr>
          <w:rFonts w:hint="eastAsia" w:eastAsia="宋体"/>
          <w:snapToGrid w:val="0"/>
          <w:spacing w:val="0"/>
          <w:sz w:val="24"/>
        </w:rPr>
        <w:t>总经理</w:t>
      </w:r>
      <w:r>
        <w:rPr>
          <w:rFonts w:eastAsia="宋体"/>
          <w:snapToGrid w:val="0"/>
          <w:spacing w:val="0"/>
          <w:sz w:val="24"/>
        </w:rPr>
        <w:t>连聘可以连任。</w:t>
      </w:r>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总经理</w:t>
      </w:r>
      <w:r>
        <w:rPr>
          <w:rFonts w:eastAsia="宋体"/>
          <w:snapToGrid w:val="0"/>
          <w:spacing w:val="0"/>
          <w:sz w:val="24"/>
        </w:rPr>
        <w:t>对董事会负责，行使下列职权：</w:t>
      </w:r>
    </w:p>
    <w:p>
      <w:pPr>
        <w:spacing w:line="460" w:lineRule="exact"/>
        <w:ind w:firstLine="480" w:firstLineChars="200"/>
        <w:rPr>
          <w:rFonts w:eastAsia="宋体"/>
          <w:bCs/>
          <w:snapToGrid w:val="0"/>
          <w:spacing w:val="0"/>
          <w:sz w:val="24"/>
        </w:rPr>
      </w:pPr>
      <w:r>
        <w:rPr>
          <w:rFonts w:eastAsia="宋体"/>
          <w:bCs/>
          <w:snapToGrid w:val="0"/>
          <w:spacing w:val="0"/>
          <w:sz w:val="24"/>
        </w:rPr>
        <w:t>（一）主持公司的生产经营管理工作，组织实施董事会决议，并向董事会报告工作；</w:t>
      </w:r>
    </w:p>
    <w:p>
      <w:pPr>
        <w:spacing w:line="460" w:lineRule="exact"/>
        <w:ind w:firstLine="480" w:firstLineChars="200"/>
        <w:rPr>
          <w:rFonts w:eastAsia="宋体"/>
          <w:bCs/>
          <w:snapToGrid w:val="0"/>
          <w:spacing w:val="0"/>
          <w:sz w:val="24"/>
        </w:rPr>
      </w:pPr>
      <w:r>
        <w:rPr>
          <w:rFonts w:eastAsia="宋体"/>
          <w:bCs/>
          <w:snapToGrid w:val="0"/>
          <w:spacing w:val="0"/>
          <w:sz w:val="24"/>
        </w:rPr>
        <w:t>（二）组织实施公司年度经营计划和投资方案；</w:t>
      </w:r>
    </w:p>
    <w:p>
      <w:pPr>
        <w:spacing w:line="460" w:lineRule="exact"/>
        <w:ind w:firstLine="480" w:firstLineChars="200"/>
        <w:rPr>
          <w:rFonts w:eastAsia="宋体"/>
          <w:bCs/>
          <w:snapToGrid w:val="0"/>
          <w:spacing w:val="0"/>
          <w:sz w:val="24"/>
        </w:rPr>
      </w:pPr>
      <w:r>
        <w:rPr>
          <w:rFonts w:eastAsia="宋体"/>
          <w:bCs/>
          <w:snapToGrid w:val="0"/>
          <w:spacing w:val="0"/>
          <w:sz w:val="24"/>
        </w:rPr>
        <w:t>（三）拟订公司内部管理机构设置方案；</w:t>
      </w:r>
    </w:p>
    <w:p>
      <w:pPr>
        <w:spacing w:line="460" w:lineRule="exact"/>
        <w:ind w:firstLine="480" w:firstLineChars="200"/>
        <w:rPr>
          <w:rFonts w:eastAsia="宋体"/>
          <w:bCs/>
          <w:snapToGrid w:val="0"/>
          <w:spacing w:val="0"/>
          <w:sz w:val="24"/>
        </w:rPr>
      </w:pPr>
      <w:r>
        <w:rPr>
          <w:rFonts w:eastAsia="宋体"/>
          <w:bCs/>
          <w:snapToGrid w:val="0"/>
          <w:spacing w:val="0"/>
          <w:sz w:val="24"/>
        </w:rPr>
        <w:t>（四）拟订公司的基本管理制度；</w:t>
      </w:r>
    </w:p>
    <w:p>
      <w:pPr>
        <w:spacing w:line="460" w:lineRule="exact"/>
        <w:ind w:firstLine="480" w:firstLineChars="200"/>
        <w:rPr>
          <w:rFonts w:eastAsia="宋体"/>
          <w:bCs/>
          <w:snapToGrid w:val="0"/>
          <w:spacing w:val="0"/>
          <w:sz w:val="24"/>
        </w:rPr>
      </w:pPr>
      <w:r>
        <w:rPr>
          <w:rFonts w:eastAsia="宋体"/>
          <w:bCs/>
          <w:snapToGrid w:val="0"/>
          <w:spacing w:val="0"/>
          <w:sz w:val="24"/>
        </w:rPr>
        <w:t>（五）制定公司的具体规章；</w:t>
      </w:r>
    </w:p>
    <w:p>
      <w:pPr>
        <w:spacing w:line="460" w:lineRule="exact"/>
        <w:ind w:firstLine="480" w:firstLineChars="200"/>
        <w:rPr>
          <w:rFonts w:eastAsia="宋体"/>
          <w:bCs/>
          <w:snapToGrid w:val="0"/>
          <w:spacing w:val="0"/>
          <w:sz w:val="24"/>
        </w:rPr>
      </w:pPr>
      <w:r>
        <w:rPr>
          <w:rFonts w:eastAsia="宋体"/>
          <w:bCs/>
          <w:snapToGrid w:val="0"/>
          <w:spacing w:val="0"/>
          <w:sz w:val="24"/>
        </w:rPr>
        <w:t>（六）提请董事会聘任或者解聘公司副</w:t>
      </w:r>
      <w:r>
        <w:rPr>
          <w:rFonts w:hint="eastAsia" w:eastAsia="宋体"/>
          <w:bCs/>
          <w:snapToGrid w:val="0"/>
          <w:spacing w:val="0"/>
          <w:sz w:val="24"/>
        </w:rPr>
        <w:t>总经理</w:t>
      </w:r>
      <w:r>
        <w:rPr>
          <w:rFonts w:eastAsia="宋体"/>
          <w:bCs/>
          <w:snapToGrid w:val="0"/>
          <w:spacing w:val="0"/>
          <w:sz w:val="24"/>
        </w:rPr>
        <w:t>、</w:t>
      </w:r>
      <w:r>
        <w:rPr>
          <w:rFonts w:hint="eastAsia" w:eastAsia="宋体"/>
          <w:bCs/>
          <w:snapToGrid w:val="0"/>
          <w:spacing w:val="0"/>
          <w:sz w:val="24"/>
        </w:rPr>
        <w:t>财务负责人</w:t>
      </w:r>
      <w:r>
        <w:rPr>
          <w:rFonts w:eastAsia="宋体"/>
          <w:bCs/>
          <w:snapToGrid w:val="0"/>
          <w:spacing w:val="0"/>
          <w:sz w:val="24"/>
        </w:rPr>
        <w:t>；</w:t>
      </w:r>
    </w:p>
    <w:p>
      <w:pPr>
        <w:spacing w:line="460" w:lineRule="exact"/>
        <w:ind w:firstLine="480" w:firstLineChars="200"/>
        <w:rPr>
          <w:rFonts w:eastAsia="宋体"/>
          <w:bCs/>
          <w:snapToGrid w:val="0"/>
          <w:spacing w:val="0"/>
          <w:sz w:val="24"/>
        </w:rPr>
      </w:pPr>
      <w:r>
        <w:rPr>
          <w:rFonts w:eastAsia="宋体"/>
          <w:bCs/>
          <w:snapToGrid w:val="0"/>
          <w:spacing w:val="0"/>
          <w:sz w:val="24"/>
        </w:rPr>
        <w:t>（七）决定聘任或者解聘除应由董事会决定聘任或者解聘以外的负责管理人员；</w:t>
      </w:r>
    </w:p>
    <w:p>
      <w:pPr>
        <w:spacing w:line="460" w:lineRule="exact"/>
        <w:ind w:firstLine="504" w:firstLineChars="200"/>
        <w:rPr>
          <w:rFonts w:eastAsia="宋体"/>
          <w:bCs/>
          <w:sz w:val="24"/>
        </w:rPr>
      </w:pPr>
      <w:r>
        <w:rPr>
          <w:rFonts w:hint="eastAsia" w:eastAsia="宋体"/>
          <w:sz w:val="24"/>
        </w:rPr>
        <w:t>（八）本章程或董事会授予的其他职权。</w:t>
      </w:r>
    </w:p>
    <w:p>
      <w:pPr>
        <w:spacing w:line="460" w:lineRule="exact"/>
        <w:ind w:firstLine="480" w:firstLineChars="200"/>
        <w:rPr>
          <w:rFonts w:eastAsia="宋体"/>
          <w:snapToGrid w:val="0"/>
          <w:spacing w:val="0"/>
          <w:sz w:val="24"/>
        </w:rPr>
      </w:pPr>
      <w:r>
        <w:rPr>
          <w:rFonts w:hint="eastAsia" w:eastAsia="宋体"/>
          <w:snapToGrid w:val="0"/>
          <w:spacing w:val="0"/>
          <w:sz w:val="24"/>
        </w:rPr>
        <w:t>总经理</w:t>
      </w:r>
      <w:r>
        <w:rPr>
          <w:rFonts w:eastAsia="宋体"/>
          <w:snapToGrid w:val="0"/>
          <w:spacing w:val="0"/>
          <w:sz w:val="24"/>
        </w:rPr>
        <w:t>列席董事会会议。</w:t>
      </w:r>
    </w:p>
    <w:p>
      <w:pPr>
        <w:spacing w:line="460" w:lineRule="exact"/>
        <w:ind w:firstLine="480" w:firstLineChars="200"/>
        <w:rPr>
          <w:rFonts w:eastAsia="宋体"/>
          <w:snapToGrid w:val="0"/>
          <w:spacing w:val="0"/>
          <w:sz w:val="24"/>
        </w:rPr>
      </w:pPr>
      <w:r>
        <w:rPr>
          <w:rFonts w:hint="eastAsia" w:eastAsia="宋体"/>
          <w:snapToGrid w:val="0"/>
          <w:spacing w:val="0"/>
          <w:sz w:val="24"/>
        </w:rPr>
        <w:t>高级副总经理、</w:t>
      </w:r>
      <w:r>
        <w:rPr>
          <w:rFonts w:eastAsia="宋体"/>
          <w:snapToGrid w:val="0"/>
          <w:spacing w:val="0"/>
          <w:sz w:val="24"/>
        </w:rPr>
        <w:t>副</w:t>
      </w:r>
      <w:r>
        <w:rPr>
          <w:rFonts w:hint="eastAsia" w:eastAsia="宋体"/>
          <w:snapToGrid w:val="0"/>
          <w:spacing w:val="0"/>
          <w:sz w:val="24"/>
        </w:rPr>
        <w:t>总经理</w:t>
      </w:r>
      <w:r>
        <w:rPr>
          <w:rFonts w:eastAsia="宋体"/>
          <w:snapToGrid w:val="0"/>
          <w:spacing w:val="0"/>
          <w:sz w:val="24"/>
        </w:rPr>
        <w:t>协助</w:t>
      </w:r>
      <w:r>
        <w:rPr>
          <w:rFonts w:hint="eastAsia" w:eastAsia="宋体"/>
          <w:snapToGrid w:val="0"/>
          <w:spacing w:val="0"/>
          <w:sz w:val="24"/>
        </w:rPr>
        <w:t>总经理</w:t>
      </w:r>
      <w:r>
        <w:rPr>
          <w:rFonts w:eastAsia="宋体"/>
          <w:snapToGrid w:val="0"/>
          <w:spacing w:val="0"/>
          <w:sz w:val="24"/>
        </w:rPr>
        <w:t>工作，在</w:t>
      </w:r>
      <w:r>
        <w:rPr>
          <w:rFonts w:hint="eastAsia" w:eastAsia="宋体"/>
          <w:snapToGrid w:val="0"/>
          <w:spacing w:val="0"/>
          <w:sz w:val="24"/>
        </w:rPr>
        <w:t>总经理</w:t>
      </w:r>
      <w:r>
        <w:rPr>
          <w:rFonts w:eastAsia="宋体"/>
          <w:snapToGrid w:val="0"/>
          <w:spacing w:val="0"/>
          <w:sz w:val="24"/>
        </w:rPr>
        <w:t>不能履行职权时，由董事长指定一名</w:t>
      </w:r>
      <w:r>
        <w:rPr>
          <w:rFonts w:hint="eastAsia" w:eastAsia="宋体"/>
          <w:snapToGrid w:val="0"/>
          <w:spacing w:val="0"/>
          <w:sz w:val="24"/>
        </w:rPr>
        <w:t>高级副总经理或</w:t>
      </w:r>
      <w:r>
        <w:rPr>
          <w:rFonts w:eastAsia="宋体"/>
          <w:snapToGrid w:val="0"/>
          <w:spacing w:val="0"/>
          <w:sz w:val="24"/>
        </w:rPr>
        <w:t>副</w:t>
      </w:r>
      <w:r>
        <w:rPr>
          <w:rFonts w:hint="eastAsia" w:eastAsia="宋体"/>
          <w:snapToGrid w:val="0"/>
          <w:spacing w:val="0"/>
          <w:sz w:val="24"/>
        </w:rPr>
        <w:t>总经理</w:t>
      </w:r>
      <w:r>
        <w:rPr>
          <w:rFonts w:eastAsia="宋体"/>
          <w:snapToGrid w:val="0"/>
          <w:spacing w:val="0"/>
          <w:sz w:val="24"/>
        </w:rPr>
        <w:t>代行职权。</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总经理</w:t>
      </w:r>
      <w:r>
        <w:rPr>
          <w:rFonts w:eastAsia="宋体"/>
          <w:snapToGrid w:val="0"/>
          <w:spacing w:val="0"/>
          <w:sz w:val="24"/>
        </w:rPr>
        <w:t>应制订</w:t>
      </w:r>
      <w:r>
        <w:rPr>
          <w:rFonts w:hint="eastAsia" w:eastAsia="宋体"/>
          <w:snapToGrid w:val="0"/>
          <w:spacing w:val="0"/>
          <w:sz w:val="24"/>
        </w:rPr>
        <w:t>总经理</w:t>
      </w:r>
      <w:r>
        <w:rPr>
          <w:rFonts w:eastAsia="宋体"/>
          <w:snapToGrid w:val="0"/>
          <w:spacing w:val="0"/>
          <w:sz w:val="24"/>
        </w:rPr>
        <w:t>工作细则，报董事会批准后实施。</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总经理</w:t>
      </w:r>
      <w:r>
        <w:rPr>
          <w:rFonts w:eastAsia="宋体"/>
          <w:snapToGrid w:val="0"/>
          <w:spacing w:val="0"/>
          <w:sz w:val="24"/>
        </w:rPr>
        <w:t>工作细则包括下列内容：</w:t>
      </w:r>
    </w:p>
    <w:p>
      <w:pPr>
        <w:spacing w:line="460" w:lineRule="exact"/>
        <w:ind w:firstLine="480" w:firstLineChars="200"/>
        <w:rPr>
          <w:rFonts w:eastAsia="宋体"/>
          <w:snapToGrid w:val="0"/>
          <w:spacing w:val="0"/>
          <w:sz w:val="24"/>
        </w:rPr>
      </w:pPr>
      <w:r>
        <w:rPr>
          <w:rFonts w:eastAsia="宋体"/>
          <w:snapToGrid w:val="0"/>
          <w:spacing w:val="0"/>
          <w:sz w:val="24"/>
        </w:rPr>
        <w:t>（一）</w:t>
      </w:r>
      <w:r>
        <w:rPr>
          <w:rFonts w:hint="eastAsia" w:eastAsia="宋体"/>
          <w:snapToGrid w:val="0"/>
          <w:spacing w:val="0"/>
          <w:sz w:val="24"/>
        </w:rPr>
        <w:t>总经理</w:t>
      </w:r>
      <w:r>
        <w:rPr>
          <w:rFonts w:eastAsia="宋体"/>
          <w:snapToGrid w:val="0"/>
          <w:spacing w:val="0"/>
          <w:sz w:val="24"/>
        </w:rPr>
        <w:t>会议召开的条件、程序和参加的人员；</w:t>
      </w:r>
    </w:p>
    <w:p>
      <w:pPr>
        <w:spacing w:line="460" w:lineRule="exact"/>
        <w:ind w:firstLine="480" w:firstLineChars="200"/>
        <w:rPr>
          <w:rFonts w:eastAsia="宋体"/>
          <w:snapToGrid w:val="0"/>
          <w:spacing w:val="0"/>
          <w:sz w:val="24"/>
        </w:rPr>
      </w:pPr>
      <w:r>
        <w:rPr>
          <w:rFonts w:eastAsia="宋体"/>
          <w:snapToGrid w:val="0"/>
          <w:spacing w:val="0"/>
          <w:sz w:val="24"/>
        </w:rPr>
        <w:t>（二）</w:t>
      </w:r>
      <w:r>
        <w:rPr>
          <w:rFonts w:hint="eastAsia" w:eastAsia="宋体"/>
          <w:snapToGrid w:val="0"/>
          <w:spacing w:val="0"/>
          <w:sz w:val="24"/>
        </w:rPr>
        <w:t>总经理</w:t>
      </w:r>
      <w:r>
        <w:rPr>
          <w:rFonts w:eastAsia="宋体"/>
          <w:snapToGrid w:val="0"/>
          <w:spacing w:val="0"/>
          <w:sz w:val="24"/>
        </w:rPr>
        <w:t>及其他高级管理人员各自具体的职责及其分工；</w:t>
      </w:r>
    </w:p>
    <w:p>
      <w:pPr>
        <w:spacing w:line="460" w:lineRule="exact"/>
        <w:ind w:firstLine="480" w:firstLineChars="200"/>
        <w:rPr>
          <w:rFonts w:eastAsia="宋体"/>
          <w:snapToGrid w:val="0"/>
          <w:spacing w:val="0"/>
          <w:sz w:val="24"/>
        </w:rPr>
      </w:pPr>
      <w:r>
        <w:rPr>
          <w:rFonts w:eastAsia="宋体"/>
          <w:snapToGrid w:val="0"/>
          <w:spacing w:val="0"/>
          <w:sz w:val="24"/>
        </w:rPr>
        <w:t>（三）公司资金、资产运用</w:t>
      </w:r>
      <w:r>
        <w:rPr>
          <w:rFonts w:hint="eastAsia" w:eastAsia="宋体"/>
          <w:snapToGrid w:val="0"/>
          <w:spacing w:val="0"/>
          <w:sz w:val="24"/>
        </w:rPr>
        <w:t>，</w:t>
      </w:r>
      <w:r>
        <w:rPr>
          <w:rFonts w:eastAsia="宋体"/>
          <w:snapToGrid w:val="0"/>
          <w:spacing w:val="0"/>
          <w:sz w:val="24"/>
        </w:rPr>
        <w:t>签订重大合同的权限，以及向董事会、监事会的报告制度；</w:t>
      </w:r>
    </w:p>
    <w:p>
      <w:pPr>
        <w:spacing w:line="460" w:lineRule="exact"/>
        <w:ind w:firstLine="480" w:firstLineChars="200"/>
        <w:rPr>
          <w:rFonts w:eastAsia="宋体"/>
          <w:snapToGrid w:val="0"/>
          <w:spacing w:val="0"/>
          <w:sz w:val="24"/>
        </w:rPr>
      </w:pPr>
      <w:r>
        <w:rPr>
          <w:rFonts w:eastAsia="宋体"/>
          <w:snapToGrid w:val="0"/>
          <w:spacing w:val="0"/>
          <w:sz w:val="24"/>
        </w:rPr>
        <w:t>（四）董事会认为必要的其他事项。</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总经理</w:t>
      </w:r>
      <w:r>
        <w:rPr>
          <w:rFonts w:eastAsia="宋体"/>
          <w:snapToGrid w:val="0"/>
          <w:spacing w:val="0"/>
          <w:sz w:val="24"/>
        </w:rPr>
        <w:t>可以在任期届满以前提出辞职，但应书面通知董事会</w:t>
      </w:r>
      <w:r>
        <w:rPr>
          <w:rFonts w:hint="eastAsia" w:eastAsia="宋体"/>
          <w:snapToGrid w:val="0"/>
          <w:spacing w:val="0"/>
          <w:sz w:val="24"/>
        </w:rPr>
        <w:t>；总经理或其他高级管理人员有关辞职的具体程序和办法在与公司签订的劳务合同中明确规定；总经理、高级副总经理、副总经理必须在完成离任审计后方可离任。</w:t>
      </w:r>
    </w:p>
    <w:p>
      <w:pPr>
        <w:numPr>
          <w:ilvl w:val="0"/>
          <w:numId w:val="8"/>
        </w:numPr>
        <w:spacing w:line="460" w:lineRule="exact"/>
        <w:ind w:left="-16" w:firstLine="444"/>
        <w:rPr>
          <w:rFonts w:eastAsia="宋体"/>
          <w:snapToGrid w:val="0"/>
          <w:spacing w:val="0"/>
          <w:sz w:val="24"/>
        </w:rPr>
      </w:pPr>
      <w:r>
        <w:rPr>
          <w:rFonts w:hint="eastAsia" w:eastAsia="宋体"/>
          <w:snapToGrid w:val="0"/>
          <w:spacing w:val="0"/>
          <w:sz w:val="24"/>
        </w:rPr>
        <w:t>高级副总经理、</w:t>
      </w:r>
      <w:r>
        <w:rPr>
          <w:rFonts w:eastAsia="宋体"/>
          <w:snapToGrid w:val="0"/>
          <w:spacing w:val="0"/>
          <w:sz w:val="24"/>
        </w:rPr>
        <w:t>副</w:t>
      </w:r>
      <w:r>
        <w:rPr>
          <w:rFonts w:hint="eastAsia" w:eastAsia="宋体"/>
          <w:snapToGrid w:val="0"/>
          <w:spacing w:val="0"/>
          <w:sz w:val="24"/>
        </w:rPr>
        <w:t>总经理</w:t>
      </w:r>
      <w:r>
        <w:rPr>
          <w:rFonts w:eastAsia="宋体"/>
          <w:snapToGrid w:val="0"/>
          <w:spacing w:val="0"/>
          <w:sz w:val="24"/>
        </w:rPr>
        <w:t>、</w:t>
      </w:r>
      <w:r>
        <w:rPr>
          <w:rFonts w:hint="eastAsia" w:eastAsia="宋体"/>
          <w:snapToGrid w:val="0"/>
          <w:spacing w:val="0"/>
          <w:sz w:val="24"/>
        </w:rPr>
        <w:t>财务负责人</w:t>
      </w:r>
      <w:r>
        <w:rPr>
          <w:rFonts w:eastAsia="宋体"/>
          <w:snapToGrid w:val="0"/>
          <w:spacing w:val="0"/>
          <w:sz w:val="24"/>
        </w:rPr>
        <w:t>由</w:t>
      </w:r>
      <w:r>
        <w:rPr>
          <w:rFonts w:hint="eastAsia" w:eastAsia="宋体"/>
          <w:snapToGrid w:val="0"/>
          <w:spacing w:val="0"/>
          <w:sz w:val="24"/>
        </w:rPr>
        <w:t>总经理</w:t>
      </w:r>
      <w:r>
        <w:rPr>
          <w:rFonts w:eastAsia="宋体"/>
          <w:snapToGrid w:val="0"/>
          <w:spacing w:val="0"/>
          <w:sz w:val="24"/>
        </w:rPr>
        <w:t>提名，</w:t>
      </w:r>
      <w:r>
        <w:rPr>
          <w:rFonts w:hint="eastAsia" w:eastAsia="宋体"/>
          <w:snapToGrid w:val="0"/>
          <w:spacing w:val="0"/>
          <w:sz w:val="24"/>
        </w:rPr>
        <w:t>由</w:t>
      </w:r>
      <w:r>
        <w:rPr>
          <w:rFonts w:eastAsia="宋体"/>
          <w:snapToGrid w:val="0"/>
          <w:spacing w:val="0"/>
          <w:sz w:val="24"/>
        </w:rPr>
        <w:t>董事会聘任和解聘。</w:t>
      </w:r>
      <w:r>
        <w:rPr>
          <w:rFonts w:hint="eastAsia" w:eastAsia="宋体"/>
          <w:snapToGrid w:val="0"/>
          <w:spacing w:val="0"/>
          <w:sz w:val="24"/>
        </w:rPr>
        <w:t>高级副总经理、副总经理、财务负责人每届任期三年，经连聘可连任。</w:t>
      </w:r>
    </w:p>
    <w:p>
      <w:pPr>
        <w:adjustRightInd w:val="0"/>
        <w:snapToGrid w:val="0"/>
        <w:spacing w:line="460" w:lineRule="exact"/>
        <w:ind w:firstLine="480" w:firstLineChars="200"/>
        <w:rPr>
          <w:rFonts w:eastAsia="宋体"/>
          <w:snapToGrid w:val="0"/>
          <w:spacing w:val="0"/>
          <w:sz w:val="24"/>
        </w:rPr>
      </w:pPr>
      <w:r>
        <w:rPr>
          <w:rFonts w:hint="eastAsia" w:eastAsia="宋体"/>
          <w:snapToGrid w:val="0"/>
          <w:spacing w:val="0"/>
          <w:sz w:val="24"/>
        </w:rPr>
        <w:t>高级副总经理、</w:t>
      </w:r>
      <w:r>
        <w:rPr>
          <w:rFonts w:eastAsia="宋体"/>
          <w:snapToGrid w:val="0"/>
          <w:spacing w:val="0"/>
          <w:sz w:val="24"/>
        </w:rPr>
        <w:t>副</w:t>
      </w:r>
      <w:r>
        <w:rPr>
          <w:rFonts w:hint="eastAsia" w:eastAsia="宋体"/>
          <w:snapToGrid w:val="0"/>
          <w:spacing w:val="0"/>
          <w:sz w:val="24"/>
        </w:rPr>
        <w:t>总经理</w:t>
      </w:r>
      <w:r>
        <w:rPr>
          <w:rFonts w:eastAsia="宋体"/>
          <w:snapToGrid w:val="0"/>
          <w:spacing w:val="0"/>
          <w:sz w:val="24"/>
        </w:rPr>
        <w:t>、</w:t>
      </w:r>
      <w:r>
        <w:rPr>
          <w:rFonts w:hint="eastAsia" w:eastAsia="宋体"/>
          <w:snapToGrid w:val="0"/>
          <w:spacing w:val="0"/>
          <w:sz w:val="24"/>
        </w:rPr>
        <w:t>财务负责人</w:t>
      </w:r>
      <w:r>
        <w:rPr>
          <w:rFonts w:eastAsia="宋体"/>
          <w:snapToGrid w:val="0"/>
          <w:spacing w:val="0"/>
          <w:sz w:val="24"/>
        </w:rPr>
        <w:t>在</w:t>
      </w:r>
      <w:r>
        <w:rPr>
          <w:rFonts w:hint="eastAsia" w:eastAsia="宋体"/>
          <w:snapToGrid w:val="0"/>
          <w:spacing w:val="0"/>
          <w:sz w:val="24"/>
        </w:rPr>
        <w:t>总经理</w:t>
      </w:r>
      <w:r>
        <w:rPr>
          <w:rFonts w:eastAsia="宋体"/>
          <w:snapToGrid w:val="0"/>
          <w:spacing w:val="0"/>
          <w:sz w:val="24"/>
        </w:rPr>
        <w:t>的统一领导下开展工作，向其报告工作，并根据分派的业务范围履行相关职责。</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公司设董事会秘书一人，由董事长提名，由董事会聘任或解聘。</w:t>
      </w:r>
    </w:p>
    <w:p>
      <w:pPr>
        <w:spacing w:line="460" w:lineRule="exact"/>
        <w:ind w:left="426"/>
        <w:rPr>
          <w:rFonts w:eastAsia="宋体"/>
          <w:snapToGrid w:val="0"/>
          <w:spacing w:val="0"/>
          <w:sz w:val="24"/>
        </w:rPr>
      </w:pPr>
      <w:r>
        <w:rPr>
          <w:rFonts w:hint="eastAsia" w:eastAsia="宋体"/>
          <w:snapToGrid w:val="0"/>
          <w:spacing w:val="0"/>
          <w:sz w:val="24"/>
        </w:rPr>
        <w:t>董事会秘书应遵守法律、行政法规、部门规章及本章程的有关规定。</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董事会秘书应当具有履行职责必备的专业知识和经验，具有良好的职业道德和个人品德。</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董事会秘书应当由公司董事、总经理、高级副总经理、副总经理、财务负责人或者公司章程规定的其他高级管理人员担任。</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董事会秘书负责公司股东大会和董事会会议的筹备、会议记录和会议文件的保管、股东资料管理、信息披露及其他日常事务办理，并负责将股东大会、董事会、监事会会议文件报中国证监会派出机构备案等事宜。</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公司应当在聘任董事会秘书时与其签订保密协议，要求其承诺在任职期间以及在离任后持续履行保密义务直至有关信息披露为止，但涉及公司违法违规的信息除外。</w:t>
      </w:r>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董事会秘书离任前，应当接受董事会、监事会的离任审查，在公司监事会的监督下移交有关档案文件、正在办理或者待办事项。</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高级管理人员执行公司职务时违反法律、行政法规、部门规章或本章程的规定，给公司造成损失的，应当承担赔偿责任。</w:t>
      </w:r>
    </w:p>
    <w:p>
      <w:pPr>
        <w:pStyle w:val="2"/>
        <w:numPr>
          <w:ilvl w:val="0"/>
          <w:numId w:val="0"/>
        </w:numPr>
        <w:spacing w:before="120" w:after="0" w:line="460" w:lineRule="exact"/>
        <w:ind w:left="2"/>
        <w:rPr>
          <w:rFonts w:eastAsia="宋体"/>
          <w:b/>
          <w:spacing w:val="0"/>
          <w:kern w:val="0"/>
          <w:sz w:val="30"/>
          <w:szCs w:val="30"/>
        </w:rPr>
      </w:pPr>
      <w:bookmarkStart w:id="124" w:name="_Toc20403"/>
      <w:bookmarkStart w:id="125" w:name="_Toc203475068"/>
      <w:bookmarkStart w:id="126" w:name="_Toc422141932"/>
      <w:bookmarkStart w:id="127" w:name="_Toc15614"/>
      <w:bookmarkStart w:id="128" w:name="_Toc16863"/>
      <w:bookmarkStart w:id="129" w:name="_Toc511054566"/>
      <w:bookmarkStart w:id="130" w:name="_Toc19069"/>
      <w:r>
        <w:rPr>
          <w:rFonts w:eastAsia="宋体"/>
          <w:b/>
          <w:spacing w:val="0"/>
          <w:kern w:val="0"/>
          <w:sz w:val="30"/>
          <w:szCs w:val="30"/>
        </w:rPr>
        <w:t>第七章  监事会</w:t>
      </w:r>
      <w:bookmarkEnd w:id="124"/>
      <w:bookmarkEnd w:id="125"/>
      <w:bookmarkEnd w:id="126"/>
      <w:bookmarkEnd w:id="127"/>
      <w:bookmarkEnd w:id="128"/>
      <w:bookmarkEnd w:id="129"/>
      <w:bookmarkEnd w:id="130"/>
    </w:p>
    <w:p>
      <w:pPr>
        <w:pStyle w:val="36"/>
        <w:tabs>
          <w:tab w:val="left" w:pos="945"/>
          <w:tab w:val="clear" w:pos="1533"/>
        </w:tabs>
        <w:ind w:hanging="2"/>
        <w:rPr>
          <w:rFonts w:eastAsia="宋体"/>
          <w:b/>
          <w:snapToGrid w:val="0"/>
          <w:spacing w:val="0"/>
          <w:sz w:val="24"/>
        </w:rPr>
      </w:pPr>
      <w:bookmarkStart w:id="131" w:name="_Toc422141933"/>
      <w:bookmarkStart w:id="132" w:name="_Toc13615"/>
      <w:bookmarkStart w:id="133" w:name="_Toc511054567"/>
      <w:bookmarkStart w:id="134" w:name="_Toc24656"/>
      <w:bookmarkStart w:id="135" w:name="_Toc13433"/>
      <w:bookmarkStart w:id="136" w:name="_Toc203475069"/>
      <w:bookmarkStart w:id="137" w:name="_Toc15236"/>
      <w:r>
        <w:rPr>
          <w:rFonts w:eastAsia="宋体"/>
          <w:b/>
          <w:snapToGrid w:val="0"/>
          <w:spacing w:val="0"/>
          <w:sz w:val="24"/>
          <w:szCs w:val="24"/>
        </w:rPr>
        <w:t>监事</w:t>
      </w:r>
      <w:bookmarkEnd w:id="131"/>
      <w:bookmarkEnd w:id="132"/>
      <w:bookmarkEnd w:id="133"/>
      <w:bookmarkEnd w:id="134"/>
      <w:bookmarkEnd w:id="135"/>
      <w:bookmarkEnd w:id="136"/>
      <w:bookmarkEnd w:id="137"/>
    </w:p>
    <w:p>
      <w:pPr>
        <w:numPr>
          <w:ilvl w:val="0"/>
          <w:numId w:val="8"/>
        </w:numPr>
        <w:spacing w:line="460" w:lineRule="exact"/>
        <w:ind w:left="-16" w:firstLine="442"/>
        <w:rPr>
          <w:rFonts w:eastAsia="宋体"/>
          <w:snapToGrid w:val="0"/>
          <w:spacing w:val="0"/>
          <w:sz w:val="24"/>
        </w:rPr>
      </w:pPr>
      <w:r>
        <w:rPr>
          <w:rFonts w:eastAsia="宋体"/>
          <w:snapToGrid w:val="0"/>
          <w:spacing w:val="0"/>
          <w:sz w:val="24"/>
        </w:rPr>
        <w:t>本章程第</w:t>
      </w:r>
      <w:r>
        <w:rPr>
          <w:rFonts w:hint="eastAsia" w:eastAsia="宋体"/>
          <w:snapToGrid w:val="0"/>
          <w:spacing w:val="0"/>
          <w:sz w:val="24"/>
        </w:rPr>
        <w:t>九十五</w:t>
      </w:r>
      <w:r>
        <w:rPr>
          <w:rFonts w:eastAsia="宋体"/>
          <w:snapToGrid w:val="0"/>
          <w:spacing w:val="0"/>
          <w:sz w:val="24"/>
        </w:rPr>
        <w:t>条关于不得担任董事的情形，同时适用于监事。</w:t>
      </w:r>
    </w:p>
    <w:p>
      <w:pPr>
        <w:spacing w:line="460" w:lineRule="exact"/>
        <w:ind w:firstLine="480" w:firstLineChars="200"/>
        <w:rPr>
          <w:rFonts w:eastAsia="宋体"/>
          <w:snapToGrid w:val="0"/>
          <w:spacing w:val="0"/>
          <w:sz w:val="24"/>
        </w:rPr>
      </w:pPr>
      <w:r>
        <w:rPr>
          <w:rFonts w:eastAsia="宋体"/>
          <w:snapToGrid w:val="0"/>
          <w:spacing w:val="0"/>
          <w:sz w:val="24"/>
        </w:rPr>
        <w:t>董事、</w:t>
      </w:r>
      <w:r>
        <w:rPr>
          <w:rFonts w:hint="eastAsia" w:eastAsia="宋体"/>
          <w:snapToGrid w:val="0"/>
          <w:spacing w:val="0"/>
          <w:sz w:val="24"/>
        </w:rPr>
        <w:t>总经理</w:t>
      </w:r>
      <w:r>
        <w:rPr>
          <w:rFonts w:eastAsia="宋体"/>
          <w:snapToGrid w:val="0"/>
          <w:spacing w:val="0"/>
          <w:sz w:val="24"/>
        </w:rPr>
        <w:t>和其他高级管理人员不得兼任监事。</w:t>
      </w:r>
    </w:p>
    <w:p>
      <w:pPr>
        <w:spacing w:line="460" w:lineRule="exact"/>
        <w:ind w:firstLine="480" w:firstLineChars="200"/>
        <w:rPr>
          <w:rFonts w:eastAsia="宋体"/>
          <w:snapToGrid w:val="0"/>
          <w:spacing w:val="0"/>
          <w:sz w:val="24"/>
        </w:rPr>
      </w:pPr>
      <w:r>
        <w:rPr>
          <w:rFonts w:hint="eastAsia" w:eastAsia="宋体"/>
          <w:snapToGrid w:val="0"/>
          <w:spacing w:val="0"/>
          <w:sz w:val="24"/>
        </w:rPr>
        <w:t>公司董事、总经理和其他高级管理人员及其配偶和直系亲属在公司董事、总经理和其他高级管理人员任期期间不得担任公司监事。</w:t>
      </w:r>
    </w:p>
    <w:p>
      <w:pPr>
        <w:spacing w:line="460" w:lineRule="exact"/>
        <w:ind w:firstLine="480" w:firstLineChars="200"/>
        <w:rPr>
          <w:rFonts w:eastAsia="宋体"/>
          <w:snapToGrid w:val="0"/>
          <w:spacing w:val="0"/>
          <w:sz w:val="24"/>
        </w:rPr>
      </w:pPr>
      <w:r>
        <w:rPr>
          <w:rFonts w:hint="eastAsia" w:eastAsia="宋体"/>
          <w:snapToGrid w:val="0"/>
          <w:spacing w:val="0"/>
          <w:sz w:val="24"/>
        </w:rPr>
        <w:t>最近两年内曾担任过公司董事或者高级管理人员的监事人数不得超过公司监事总数的二分之一。</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单一股东提名的监事不得超过公司监事总数的二分之一。</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监事应当遵守法律、行政法规和本章程，对公司负有忠实义务和勤勉义务，不得利用职权收受贿赂或者其他非法收入，不得侵占公司的财产。</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监事的任期每届为三年。监事任期届满，连选可以连任。</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监事任期届满未及时改选，或者监事在任期内辞职导致监事会成员低于法定人数的，在改选出的监事就任前，原监事仍应当依照法律、行政法规和本章程的规定，履行监事职务。</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监事应当保证公司披露的信息真实、准确、完整。</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监事可以列席董事会会议，并对董事会决议事项提出质询或者建议。</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监事不得利用其关联关系损害公司利益，若给公司造成损失的，应当承担赔偿责任。</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监事执行公司职务时违反法律、行政法规、部门规章或本章程的规定，给公司造成损失的，应当承担赔偿责任。</w:t>
      </w:r>
    </w:p>
    <w:p>
      <w:pPr>
        <w:pStyle w:val="36"/>
        <w:tabs>
          <w:tab w:val="clear" w:pos="1533"/>
        </w:tabs>
        <w:spacing w:before="120" w:after="0" w:line="460" w:lineRule="exact"/>
        <w:rPr>
          <w:rFonts w:eastAsia="宋体"/>
          <w:b/>
          <w:snapToGrid w:val="0"/>
          <w:spacing w:val="0"/>
          <w:sz w:val="24"/>
          <w:szCs w:val="24"/>
        </w:rPr>
      </w:pPr>
      <w:r>
        <w:rPr>
          <w:rFonts w:hint="eastAsia" w:eastAsia="宋体"/>
          <w:b/>
          <w:snapToGrid w:val="0"/>
          <w:spacing w:val="0"/>
          <w:sz w:val="24"/>
          <w:szCs w:val="24"/>
        </w:rPr>
        <w:t xml:space="preserve">  </w:t>
      </w:r>
      <w:bookmarkStart w:id="138" w:name="_Toc25222"/>
      <w:bookmarkStart w:id="139" w:name="_Toc4035"/>
      <w:r>
        <w:rPr>
          <w:rFonts w:eastAsia="宋体"/>
          <w:b/>
          <w:snapToGrid w:val="0"/>
          <w:spacing w:val="0"/>
          <w:sz w:val="24"/>
          <w:szCs w:val="24"/>
        </w:rPr>
        <w:t>监事会</w:t>
      </w:r>
      <w:bookmarkEnd w:id="138"/>
      <w:bookmarkEnd w:id="139"/>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公司设监事会。监事会由三名监事组成，监事会设主席一人。监事会主席由全体监事过半数选举产生。</w:t>
      </w:r>
    </w:p>
    <w:p>
      <w:pPr>
        <w:numPr>
          <w:ilvl w:val="255"/>
          <w:numId w:val="0"/>
        </w:numPr>
        <w:tabs>
          <w:tab w:val="left" w:pos="262"/>
        </w:tabs>
        <w:spacing w:line="460" w:lineRule="exact"/>
        <w:ind w:firstLine="480" w:firstLineChars="200"/>
        <w:rPr>
          <w:rFonts w:eastAsia="宋体"/>
          <w:snapToGrid w:val="0"/>
          <w:spacing w:val="0"/>
          <w:sz w:val="24"/>
        </w:rPr>
      </w:pPr>
      <w:r>
        <w:rPr>
          <w:rFonts w:eastAsia="宋体"/>
          <w:snapToGrid w:val="0"/>
          <w:spacing w:val="0"/>
          <w:sz w:val="24"/>
        </w:rPr>
        <w:t>监事会主席召集和主持监事会会议；监事会主席不能履行职务或者不履行职务的，由半数以上监事共同推举一名监事召集和主持监事会会议。</w:t>
      </w:r>
    </w:p>
    <w:p>
      <w:pPr>
        <w:numPr>
          <w:ilvl w:val="255"/>
          <w:numId w:val="0"/>
        </w:numPr>
        <w:tabs>
          <w:tab w:val="left" w:pos="262"/>
        </w:tabs>
        <w:spacing w:line="460" w:lineRule="exact"/>
        <w:ind w:firstLine="480" w:firstLineChars="200"/>
        <w:rPr>
          <w:rFonts w:eastAsia="宋体"/>
          <w:snapToGrid w:val="0"/>
          <w:spacing w:val="0"/>
          <w:sz w:val="24"/>
        </w:rPr>
      </w:pPr>
      <w:r>
        <w:rPr>
          <w:rFonts w:eastAsia="宋体"/>
          <w:snapToGrid w:val="0"/>
          <w:spacing w:val="0"/>
          <w:sz w:val="24"/>
        </w:rPr>
        <w:t>监事会应当包括股东代表和适当比例的公司职工代表，其中职工代表的比例不低于三分之一。监事会中的职工代表由公司职工通过职工代表大会、职工大会或者其他形式民主选举产生。</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监事会行使下列职权：</w:t>
      </w:r>
    </w:p>
    <w:p>
      <w:pPr>
        <w:numPr>
          <w:ilvl w:val="-1"/>
          <w:numId w:val="0"/>
        </w:numPr>
        <w:spacing w:line="460" w:lineRule="exact"/>
        <w:ind w:left="426" w:firstLine="0"/>
        <w:rPr>
          <w:rFonts w:hint="eastAsia" w:eastAsia="宋体"/>
          <w:snapToGrid w:val="0"/>
          <w:spacing w:val="0"/>
          <w:sz w:val="24"/>
        </w:rPr>
      </w:pPr>
      <w:r>
        <w:rPr>
          <w:rFonts w:hint="eastAsia" w:eastAsia="宋体"/>
          <w:snapToGrid w:val="0"/>
          <w:spacing w:val="0"/>
          <w:sz w:val="24"/>
        </w:rPr>
        <w:t>（一）应当对董事会编制的公司定期报告进行审核并提出书面审核意见；</w:t>
      </w:r>
    </w:p>
    <w:p>
      <w:pPr>
        <w:numPr>
          <w:ilvl w:val="-1"/>
          <w:numId w:val="0"/>
        </w:numPr>
        <w:spacing w:line="460" w:lineRule="exact"/>
        <w:ind w:left="426" w:firstLine="0"/>
        <w:rPr>
          <w:rFonts w:hint="eastAsia" w:eastAsia="宋体"/>
          <w:snapToGrid w:val="0"/>
          <w:spacing w:val="0"/>
          <w:sz w:val="24"/>
        </w:rPr>
      </w:pPr>
      <w:r>
        <w:rPr>
          <w:rFonts w:hint="eastAsia" w:eastAsia="宋体"/>
          <w:snapToGrid w:val="0"/>
          <w:spacing w:val="0"/>
          <w:sz w:val="24"/>
        </w:rPr>
        <w:t>（二）检查公司财务；</w:t>
      </w:r>
    </w:p>
    <w:p>
      <w:pPr>
        <w:numPr>
          <w:ilvl w:val="-1"/>
          <w:numId w:val="0"/>
        </w:numPr>
        <w:spacing w:line="460" w:lineRule="exact"/>
        <w:ind w:left="0" w:firstLine="480" w:firstLineChars="200"/>
        <w:rPr>
          <w:rFonts w:hint="eastAsia" w:eastAsia="宋体"/>
          <w:snapToGrid w:val="0"/>
          <w:spacing w:val="0"/>
          <w:sz w:val="24"/>
        </w:rPr>
      </w:pPr>
      <w:r>
        <w:rPr>
          <w:rFonts w:hint="eastAsia" w:eastAsia="宋体"/>
          <w:snapToGrid w:val="0"/>
          <w:spacing w:val="0"/>
          <w:sz w:val="24"/>
        </w:rPr>
        <w:t>（三）对董事、高级管理人员执行公司职务的行为进行监督，对违反法律、行政法规、本章程或者股东大会决议的董事、高级管理人员提出罢免的建议；</w:t>
      </w:r>
    </w:p>
    <w:p>
      <w:pPr>
        <w:numPr>
          <w:ilvl w:val="-1"/>
          <w:numId w:val="0"/>
        </w:numPr>
        <w:spacing w:line="460" w:lineRule="exact"/>
        <w:ind w:left="0" w:firstLine="480" w:firstLineChars="200"/>
        <w:rPr>
          <w:rFonts w:hint="eastAsia" w:eastAsia="宋体"/>
          <w:snapToGrid w:val="0"/>
          <w:spacing w:val="0"/>
          <w:sz w:val="24"/>
        </w:rPr>
      </w:pPr>
      <w:r>
        <w:rPr>
          <w:rFonts w:hint="eastAsia" w:eastAsia="宋体"/>
          <w:snapToGrid w:val="0"/>
          <w:spacing w:val="0"/>
          <w:sz w:val="24"/>
        </w:rPr>
        <w:t>（四）当董事、高级管理人员的行为损害公司的利益时，要求董事、高级管理人员予以纠正；</w:t>
      </w:r>
    </w:p>
    <w:p>
      <w:pPr>
        <w:numPr>
          <w:ilvl w:val="-1"/>
          <w:numId w:val="0"/>
        </w:numPr>
        <w:spacing w:line="460" w:lineRule="exact"/>
        <w:ind w:left="0" w:firstLine="480" w:firstLineChars="200"/>
        <w:rPr>
          <w:rFonts w:hint="eastAsia" w:eastAsia="宋体"/>
          <w:snapToGrid w:val="0"/>
          <w:spacing w:val="0"/>
          <w:sz w:val="24"/>
        </w:rPr>
      </w:pPr>
      <w:r>
        <w:rPr>
          <w:rFonts w:hint="eastAsia" w:eastAsia="宋体"/>
          <w:snapToGrid w:val="0"/>
          <w:spacing w:val="0"/>
          <w:sz w:val="24"/>
        </w:rPr>
        <w:t>（五）提议召开临时股东大会，在董事会不履行《公司法》规定的召集和主持股东大会职责时召集和主持股东大会；</w:t>
      </w:r>
    </w:p>
    <w:p>
      <w:pPr>
        <w:numPr>
          <w:ilvl w:val="-1"/>
          <w:numId w:val="0"/>
        </w:numPr>
        <w:spacing w:line="460" w:lineRule="exact"/>
        <w:ind w:left="426" w:firstLine="0"/>
        <w:rPr>
          <w:rFonts w:hint="eastAsia" w:eastAsia="宋体"/>
          <w:snapToGrid w:val="0"/>
          <w:spacing w:val="0"/>
          <w:sz w:val="24"/>
        </w:rPr>
      </w:pPr>
      <w:r>
        <w:rPr>
          <w:rFonts w:hint="eastAsia" w:eastAsia="宋体"/>
          <w:snapToGrid w:val="0"/>
          <w:spacing w:val="0"/>
          <w:sz w:val="24"/>
        </w:rPr>
        <w:t>（六）向股东大会提出提案；</w:t>
      </w:r>
    </w:p>
    <w:p>
      <w:pPr>
        <w:numPr>
          <w:ilvl w:val="-1"/>
          <w:numId w:val="0"/>
        </w:numPr>
        <w:spacing w:line="460" w:lineRule="exact"/>
        <w:ind w:left="426" w:firstLine="0"/>
        <w:rPr>
          <w:rFonts w:hint="eastAsia" w:eastAsia="宋体"/>
          <w:snapToGrid w:val="0"/>
          <w:spacing w:val="0"/>
          <w:sz w:val="24"/>
        </w:rPr>
      </w:pPr>
      <w:r>
        <w:rPr>
          <w:rFonts w:hint="eastAsia" w:eastAsia="宋体"/>
          <w:snapToGrid w:val="0"/>
          <w:spacing w:val="0"/>
          <w:sz w:val="24"/>
        </w:rPr>
        <w:t>（七）依照《公司法》第一百五十一条的规定，对董事、高级管理人员提起诉讼；</w:t>
      </w:r>
    </w:p>
    <w:p>
      <w:pPr>
        <w:numPr>
          <w:ilvl w:val="-1"/>
          <w:numId w:val="0"/>
        </w:numPr>
        <w:spacing w:line="460" w:lineRule="exact"/>
        <w:ind w:left="0" w:firstLine="480" w:firstLineChars="200"/>
        <w:rPr>
          <w:rFonts w:eastAsia="宋体"/>
          <w:snapToGrid w:val="0"/>
          <w:spacing w:val="0"/>
          <w:sz w:val="24"/>
        </w:rPr>
      </w:pPr>
      <w:r>
        <w:rPr>
          <w:rFonts w:hint="eastAsia" w:eastAsia="宋体"/>
          <w:snapToGrid w:val="0"/>
          <w:spacing w:val="0"/>
          <w:sz w:val="24"/>
        </w:rPr>
        <w:t>（八）发现公司经营情况异常，可以进行调查；必要时，可以聘请会计师事务所、律师事务所等专业机构协助其工作，费用由公司承担。</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监事会每六个月至少召开一次会议。监事可以提议召开临时监事会会议。</w:t>
      </w:r>
    </w:p>
    <w:p>
      <w:pPr>
        <w:numPr>
          <w:ilvl w:val="255"/>
          <w:numId w:val="0"/>
        </w:numPr>
        <w:spacing w:line="460" w:lineRule="exact"/>
        <w:ind w:left="426"/>
        <w:rPr>
          <w:rFonts w:eastAsia="宋体"/>
          <w:snapToGrid w:val="0"/>
          <w:spacing w:val="0"/>
          <w:sz w:val="24"/>
        </w:rPr>
      </w:pPr>
      <w:r>
        <w:rPr>
          <w:rFonts w:eastAsia="宋体"/>
          <w:snapToGrid w:val="0"/>
          <w:spacing w:val="0"/>
          <w:sz w:val="24"/>
        </w:rPr>
        <w:t>监事会决议应当经半数以上监事通过。</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监事会制定监事会议事规则，明确监事会的议事方式和表决程序，以确保监事会的工作效率和科学决策。</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监事会议事规则应作为章程的附件，由监事会拟定，股东大会批准。</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监事会应当将所议事项的决定做成会议记录，出席会议的监事应当在会议记录上签名。</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监事有权要求在记录上对其在会议上的发言作出某种说明性记载。监事会会议记录作为公司档案至少保存十年。</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监事会会议通知包括以下内容：</w:t>
      </w:r>
    </w:p>
    <w:p>
      <w:pPr>
        <w:numPr>
          <w:ilvl w:val="0"/>
          <w:numId w:val="11"/>
        </w:numPr>
        <w:spacing w:line="460" w:lineRule="exact"/>
        <w:ind w:left="426"/>
        <w:rPr>
          <w:rFonts w:eastAsia="宋体"/>
          <w:snapToGrid w:val="0"/>
          <w:spacing w:val="0"/>
          <w:sz w:val="24"/>
        </w:rPr>
      </w:pPr>
      <w:r>
        <w:rPr>
          <w:rFonts w:eastAsia="宋体"/>
          <w:snapToGrid w:val="0"/>
          <w:spacing w:val="0"/>
          <w:sz w:val="24"/>
        </w:rPr>
        <w:t>举行会议的日期、地点和会议期限；</w:t>
      </w:r>
    </w:p>
    <w:p>
      <w:pPr>
        <w:numPr>
          <w:ilvl w:val="0"/>
          <w:numId w:val="11"/>
        </w:numPr>
        <w:spacing w:line="460" w:lineRule="exact"/>
        <w:ind w:left="426"/>
        <w:rPr>
          <w:rFonts w:eastAsia="宋体"/>
          <w:snapToGrid w:val="0"/>
          <w:spacing w:val="0"/>
          <w:sz w:val="24"/>
        </w:rPr>
      </w:pPr>
      <w:r>
        <w:rPr>
          <w:rFonts w:eastAsia="宋体"/>
          <w:snapToGrid w:val="0"/>
          <w:spacing w:val="0"/>
          <w:sz w:val="24"/>
        </w:rPr>
        <w:t>事由及议题；</w:t>
      </w:r>
    </w:p>
    <w:p>
      <w:pPr>
        <w:numPr>
          <w:ilvl w:val="0"/>
          <w:numId w:val="11"/>
        </w:numPr>
        <w:spacing w:line="460" w:lineRule="exact"/>
        <w:ind w:left="426"/>
        <w:rPr>
          <w:rFonts w:eastAsia="宋体"/>
          <w:snapToGrid w:val="0"/>
          <w:spacing w:val="0"/>
          <w:sz w:val="24"/>
        </w:rPr>
      </w:pPr>
      <w:r>
        <w:rPr>
          <w:rFonts w:eastAsia="宋体"/>
          <w:snapToGrid w:val="0"/>
          <w:spacing w:val="0"/>
          <w:sz w:val="24"/>
        </w:rPr>
        <w:t>发出通知的日期。</w:t>
      </w:r>
    </w:p>
    <w:p>
      <w:pPr>
        <w:pStyle w:val="2"/>
        <w:numPr>
          <w:ilvl w:val="0"/>
          <w:numId w:val="0"/>
        </w:numPr>
        <w:spacing w:before="120" w:after="0" w:line="460" w:lineRule="exact"/>
        <w:ind w:left="2"/>
        <w:rPr>
          <w:rFonts w:eastAsia="宋体"/>
          <w:b/>
          <w:spacing w:val="0"/>
          <w:kern w:val="0"/>
          <w:sz w:val="30"/>
          <w:szCs w:val="30"/>
        </w:rPr>
      </w:pPr>
      <w:bookmarkStart w:id="140" w:name="_Toc6225"/>
      <w:bookmarkStart w:id="141" w:name="_Toc2542"/>
      <w:r>
        <w:rPr>
          <w:rFonts w:eastAsia="宋体"/>
          <w:b/>
          <w:spacing w:val="0"/>
          <w:kern w:val="0"/>
          <w:sz w:val="30"/>
          <w:szCs w:val="30"/>
        </w:rPr>
        <w:t xml:space="preserve">第八章  </w:t>
      </w:r>
      <w:r>
        <w:rPr>
          <w:rFonts w:hint="eastAsia" w:eastAsia="宋体"/>
          <w:b/>
          <w:spacing w:val="0"/>
          <w:kern w:val="0"/>
          <w:sz w:val="30"/>
          <w:szCs w:val="30"/>
        </w:rPr>
        <w:t>董事、监事及高级管理人员的绩效评价与激励约束机制</w:t>
      </w:r>
      <w:bookmarkEnd w:id="140"/>
      <w:bookmarkEnd w:id="141"/>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应建立公正透明的董事、监事、总经理以及其他高级管理人员的绩效评价标准和程序，以形成个人薪酬与公司绩效和个人业绩相联系的激励机制。董事、监事的绩效评价细则由董事会制订，报股东大会批准。高级管理人员的绩效评价细则由董事会批准。</w:t>
      </w:r>
    </w:p>
    <w:p>
      <w:pPr>
        <w:numPr>
          <w:ilvl w:val="255"/>
          <w:numId w:val="0"/>
        </w:numPr>
        <w:spacing w:line="460" w:lineRule="exact"/>
        <w:ind w:left="6" w:firstLine="420" w:firstLineChars="175"/>
        <w:rPr>
          <w:rFonts w:eastAsia="宋体"/>
          <w:snapToGrid w:val="0"/>
          <w:spacing w:val="0"/>
          <w:sz w:val="24"/>
        </w:rPr>
      </w:pPr>
      <w:r>
        <w:rPr>
          <w:rFonts w:hint="eastAsia" w:eastAsia="宋体"/>
          <w:snapToGrid w:val="0"/>
          <w:spacing w:val="0"/>
          <w:sz w:val="24"/>
        </w:rPr>
        <w:t>对董事、监事、总经理以及其他高级管理人员的绩效评价结果作为确定其薪酬以及其他激励方式的依据。</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董事、监事报酬事项由股东大会决定。在董事会或者薪酬与考核委员会对董事个人进行评价或者讨论其报酬时，该董事应当回避。</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高级管理人员的薪酬分配方案应当经董事会批准，向股东大会说明，并予以充分披露。</w:t>
      </w:r>
    </w:p>
    <w:p>
      <w:pPr>
        <w:pStyle w:val="2"/>
        <w:numPr>
          <w:ilvl w:val="0"/>
          <w:numId w:val="0"/>
        </w:numPr>
        <w:spacing w:before="120" w:after="0" w:line="460" w:lineRule="exact"/>
        <w:ind w:left="2"/>
        <w:rPr>
          <w:rFonts w:eastAsia="宋体"/>
          <w:b/>
          <w:spacing w:val="0"/>
          <w:kern w:val="0"/>
          <w:sz w:val="30"/>
          <w:szCs w:val="30"/>
        </w:rPr>
      </w:pPr>
      <w:bookmarkStart w:id="142" w:name="_Toc32472"/>
      <w:bookmarkStart w:id="143" w:name="_Toc18282"/>
      <w:r>
        <w:rPr>
          <w:rFonts w:eastAsia="宋体"/>
          <w:b/>
          <w:spacing w:val="0"/>
          <w:kern w:val="0"/>
          <w:sz w:val="30"/>
          <w:szCs w:val="30"/>
        </w:rPr>
        <w:t>第</w:t>
      </w:r>
      <w:r>
        <w:rPr>
          <w:rFonts w:hint="eastAsia" w:eastAsia="宋体"/>
          <w:b/>
          <w:spacing w:val="0"/>
          <w:kern w:val="0"/>
          <w:sz w:val="30"/>
          <w:szCs w:val="30"/>
        </w:rPr>
        <w:t>九</w:t>
      </w:r>
      <w:r>
        <w:rPr>
          <w:rFonts w:eastAsia="宋体"/>
          <w:b/>
          <w:spacing w:val="0"/>
          <w:kern w:val="0"/>
          <w:sz w:val="30"/>
          <w:szCs w:val="30"/>
        </w:rPr>
        <w:t xml:space="preserve">章  </w:t>
      </w:r>
      <w:r>
        <w:rPr>
          <w:rFonts w:hint="eastAsia" w:eastAsia="宋体"/>
          <w:b/>
          <w:spacing w:val="0"/>
          <w:kern w:val="0"/>
          <w:sz w:val="30"/>
          <w:szCs w:val="30"/>
        </w:rPr>
        <w:t>信息披露要求</w:t>
      </w:r>
      <w:bookmarkEnd w:id="142"/>
      <w:bookmarkEnd w:id="143"/>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公司及其他信息披露义务人应当严格依照法律法规、自律规则和公司章程的规定，真实、准确、完整、及时、公平地披露信息，不得有虚假记载、误导性陈述、重大遗漏或者其他不正当披露。</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董事、监事、高级管理人员应当保证公司披露信息的真实、准确、完整、及时、公平。</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自愿性信息披露应当遵守公平原则，保持信息披露的持续性和一致性，不得进行选择性披露，不得利用自愿性信息披露从事市场操纵、内幕交易或者其他违法违规行为，不得违反公序良俗、损害社会公共利益。自愿披露具有一定预测性质信息的，应当明确预测的依据，并提示可能出现的不确定性和风险。</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董事长对公司信息披露事务管理承担首要责任。</w:t>
      </w:r>
    </w:p>
    <w:p>
      <w:pPr>
        <w:numPr>
          <w:ilvl w:val="255"/>
          <w:numId w:val="0"/>
        </w:numPr>
        <w:spacing w:line="460" w:lineRule="exact"/>
        <w:ind w:firstLine="480" w:firstLineChars="200"/>
        <w:rPr>
          <w:rFonts w:eastAsia="宋体"/>
          <w:snapToGrid w:val="0"/>
          <w:spacing w:val="0"/>
          <w:sz w:val="24"/>
        </w:rPr>
      </w:pPr>
      <w:r>
        <w:rPr>
          <w:rFonts w:hint="eastAsia" w:eastAsia="宋体"/>
          <w:snapToGrid w:val="0"/>
          <w:spacing w:val="0"/>
          <w:sz w:val="24"/>
        </w:rPr>
        <w:t>董事会秘书负责组织和协调公司信息披露事务，办理公司信息对外公布等相关事宜。</w:t>
      </w:r>
    </w:p>
    <w:p>
      <w:pPr>
        <w:pStyle w:val="2"/>
        <w:numPr>
          <w:ilvl w:val="0"/>
          <w:numId w:val="0"/>
        </w:numPr>
        <w:spacing w:before="120" w:after="0" w:line="460" w:lineRule="exact"/>
        <w:ind w:left="2"/>
        <w:rPr>
          <w:rFonts w:eastAsia="宋体"/>
          <w:b/>
          <w:spacing w:val="0"/>
          <w:kern w:val="0"/>
          <w:sz w:val="30"/>
          <w:szCs w:val="30"/>
        </w:rPr>
      </w:pPr>
      <w:bookmarkStart w:id="144" w:name="_Toc28144"/>
      <w:bookmarkStart w:id="145" w:name="_Toc15357"/>
      <w:r>
        <w:rPr>
          <w:rFonts w:eastAsia="宋体"/>
          <w:b/>
          <w:spacing w:val="0"/>
          <w:kern w:val="0"/>
          <w:sz w:val="30"/>
          <w:szCs w:val="30"/>
        </w:rPr>
        <w:t>第</w:t>
      </w:r>
      <w:r>
        <w:rPr>
          <w:rFonts w:hint="eastAsia" w:eastAsia="宋体"/>
          <w:b/>
          <w:spacing w:val="0"/>
          <w:kern w:val="0"/>
          <w:sz w:val="30"/>
          <w:szCs w:val="30"/>
        </w:rPr>
        <w:t>十</w:t>
      </w:r>
      <w:r>
        <w:rPr>
          <w:rFonts w:eastAsia="宋体"/>
          <w:b/>
          <w:spacing w:val="0"/>
          <w:kern w:val="0"/>
          <w:sz w:val="30"/>
          <w:szCs w:val="30"/>
        </w:rPr>
        <w:t>章  财务会计制度、利润分配和审计</w:t>
      </w:r>
      <w:bookmarkEnd w:id="144"/>
      <w:bookmarkEnd w:id="145"/>
    </w:p>
    <w:p>
      <w:pPr>
        <w:pStyle w:val="34"/>
        <w:tabs>
          <w:tab w:val="left" w:pos="1155"/>
          <w:tab w:val="clear" w:pos="1533"/>
        </w:tabs>
        <w:spacing w:before="120" w:after="0" w:line="460" w:lineRule="exact"/>
        <w:ind w:hanging="2"/>
        <w:rPr>
          <w:rFonts w:eastAsia="宋体"/>
          <w:b/>
          <w:snapToGrid w:val="0"/>
          <w:spacing w:val="0"/>
          <w:sz w:val="24"/>
          <w:szCs w:val="24"/>
        </w:rPr>
      </w:pPr>
      <w:bookmarkStart w:id="146" w:name="_Toc22802"/>
      <w:bookmarkStart w:id="147" w:name="_Toc29849"/>
      <w:r>
        <w:rPr>
          <w:rFonts w:eastAsia="宋体"/>
          <w:b/>
          <w:snapToGrid w:val="0"/>
          <w:spacing w:val="0"/>
          <w:sz w:val="24"/>
          <w:szCs w:val="24"/>
        </w:rPr>
        <w:t>财务会计制度</w:t>
      </w:r>
      <w:bookmarkEnd w:id="146"/>
      <w:bookmarkEnd w:id="147"/>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公司依照法律、行政法规和国家有关部门的规定，制定公司的财务会计制度。</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在每一会计年度结束之日起四个月内向中国证监会和证券交易所报送年度财务会计报告。在每一会计年度前六个月结束之日起两个月内向中国证监会派出机构和证券交易所报送半年度财务会计报告，在每一会计年度前三个月和前九个月结束之日起的一个月内向中国证监会派出机构和证券交易所报送季度财务会计报告。</w:t>
      </w:r>
    </w:p>
    <w:p>
      <w:pPr>
        <w:numPr>
          <w:ilvl w:val="255"/>
          <w:numId w:val="0"/>
        </w:numPr>
        <w:spacing w:line="460" w:lineRule="exact"/>
        <w:ind w:left="426"/>
        <w:rPr>
          <w:rFonts w:eastAsia="宋体"/>
          <w:snapToGrid w:val="0"/>
          <w:spacing w:val="0"/>
          <w:sz w:val="24"/>
        </w:rPr>
      </w:pPr>
      <w:r>
        <w:rPr>
          <w:rFonts w:hint="eastAsia" w:eastAsia="宋体"/>
          <w:snapToGrid w:val="0"/>
          <w:spacing w:val="0"/>
          <w:sz w:val="24"/>
        </w:rPr>
        <w:t>上述财务会计报告按照有关法律、行政法规及部门规章的规定进行编制。</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公司除法定的会计账簿外，将不另立会计账簿。公司的资产，不以任何个人名义开立账户存储。</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公司分配当年税后利润时，应当提取利润的百分之十列入公司法定公积金。公司法定公积金累计额为公司注册资本的百分之五十以上的，可以不再提取。</w:t>
      </w:r>
    </w:p>
    <w:p>
      <w:pPr>
        <w:numPr>
          <w:ilvl w:val="255"/>
          <w:numId w:val="0"/>
        </w:numPr>
        <w:tabs>
          <w:tab w:val="left" w:pos="262"/>
        </w:tabs>
        <w:spacing w:line="460" w:lineRule="exact"/>
        <w:ind w:left="6" w:firstLine="420" w:firstLineChars="175"/>
        <w:rPr>
          <w:rFonts w:eastAsia="宋体"/>
          <w:snapToGrid w:val="0"/>
          <w:spacing w:val="0"/>
          <w:sz w:val="24"/>
        </w:rPr>
      </w:pPr>
      <w:r>
        <w:rPr>
          <w:rFonts w:eastAsia="宋体"/>
          <w:snapToGrid w:val="0"/>
          <w:spacing w:val="0"/>
          <w:sz w:val="24"/>
        </w:rPr>
        <w:t>公司的法定公积金不足以弥补以前年度亏损的，在依照前款规定提取法定公积金之前，应当先用当年利润弥补亏损。</w:t>
      </w:r>
    </w:p>
    <w:p>
      <w:pPr>
        <w:spacing w:line="460" w:lineRule="exact"/>
        <w:ind w:firstLine="480" w:firstLineChars="200"/>
        <w:rPr>
          <w:rFonts w:eastAsia="宋体"/>
          <w:snapToGrid w:val="0"/>
          <w:spacing w:val="0"/>
          <w:sz w:val="24"/>
        </w:rPr>
      </w:pPr>
      <w:r>
        <w:rPr>
          <w:rFonts w:eastAsia="宋体"/>
          <w:snapToGrid w:val="0"/>
          <w:spacing w:val="0"/>
          <w:sz w:val="24"/>
        </w:rPr>
        <w:t>公司从税后利润中提取法定公积金后，经股东大会决议，还可以从税后利润中提取任意公积金。</w:t>
      </w:r>
    </w:p>
    <w:p>
      <w:pPr>
        <w:spacing w:line="460" w:lineRule="exact"/>
        <w:ind w:firstLine="480" w:firstLineChars="200"/>
        <w:rPr>
          <w:rFonts w:eastAsia="宋体"/>
          <w:snapToGrid w:val="0"/>
          <w:spacing w:val="0"/>
          <w:sz w:val="24"/>
        </w:rPr>
      </w:pPr>
      <w:r>
        <w:rPr>
          <w:rFonts w:eastAsia="宋体"/>
          <w:snapToGrid w:val="0"/>
          <w:spacing w:val="0"/>
          <w:sz w:val="24"/>
        </w:rPr>
        <w:t>公司弥补亏损和提取公积金后所余税后利润，按照股东持有的股份比例分配，但本章程规定不按持股比例分配的除外。</w:t>
      </w:r>
    </w:p>
    <w:p>
      <w:pPr>
        <w:spacing w:line="460" w:lineRule="exact"/>
        <w:ind w:firstLine="480" w:firstLineChars="200"/>
        <w:rPr>
          <w:rFonts w:eastAsia="宋体"/>
          <w:snapToGrid w:val="0"/>
          <w:spacing w:val="0"/>
          <w:sz w:val="24"/>
        </w:rPr>
      </w:pPr>
      <w:r>
        <w:rPr>
          <w:rFonts w:eastAsia="宋体"/>
          <w:snapToGrid w:val="0"/>
          <w:spacing w:val="0"/>
          <w:sz w:val="24"/>
        </w:rPr>
        <w:t>股东大会违反前款规定，在公司弥补亏损和提取法定公积金之前向股东分配利润的，股东必须将违反规定分配的利润退还公司。</w:t>
      </w:r>
    </w:p>
    <w:p>
      <w:pPr>
        <w:numPr>
          <w:ilvl w:val="255"/>
          <w:numId w:val="0"/>
        </w:numPr>
        <w:tabs>
          <w:tab w:val="left" w:pos="262"/>
        </w:tabs>
        <w:spacing w:line="460" w:lineRule="exact"/>
        <w:ind w:left="6" w:firstLine="420" w:firstLineChars="175"/>
        <w:rPr>
          <w:rFonts w:eastAsia="宋体"/>
          <w:snapToGrid w:val="0"/>
          <w:spacing w:val="0"/>
          <w:sz w:val="24"/>
        </w:rPr>
      </w:pPr>
      <w:r>
        <w:rPr>
          <w:rFonts w:eastAsia="宋体"/>
          <w:snapToGrid w:val="0"/>
          <w:spacing w:val="0"/>
          <w:sz w:val="24"/>
        </w:rPr>
        <w:t>公司持有的本公司股份不参与分配利润。</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公司的公积金用于弥补公司的亏损、扩大公司生产经营或者转为增加公司资本。但是，资本公积金将不用于弥补公司的亏损。</w:t>
      </w:r>
    </w:p>
    <w:p>
      <w:pPr>
        <w:numPr>
          <w:ilvl w:val="255"/>
          <w:numId w:val="0"/>
        </w:numPr>
        <w:spacing w:line="460" w:lineRule="exact"/>
        <w:ind w:left="6" w:firstLine="420" w:firstLineChars="175"/>
        <w:rPr>
          <w:rFonts w:eastAsia="宋体"/>
          <w:snapToGrid w:val="0"/>
          <w:spacing w:val="0"/>
          <w:sz w:val="24"/>
        </w:rPr>
      </w:pPr>
      <w:r>
        <w:rPr>
          <w:rFonts w:eastAsia="宋体"/>
          <w:snapToGrid w:val="0"/>
          <w:spacing w:val="0"/>
          <w:sz w:val="24"/>
        </w:rPr>
        <w:t>法定公积金转为资本时，所留存的该项公积金将不少于转增前公司注册资本的百分之二十五。</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公司股东大会对利润分配方案作出决议后，公司董事会须在股东大会召开后二个月内完成股利（或股份）的派发事项。</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公司的利润分配政策由董事会拟定并经三分之二以上董事及二分之一以上独立董事同意提请股东大会审议，独立董事及监事会对提请股东大会审议的利润分配政策进行审核并出具书面意见。</w:t>
      </w:r>
    </w:p>
    <w:p>
      <w:pPr>
        <w:spacing w:line="460" w:lineRule="exact"/>
        <w:ind w:left="-96" w:firstLine="480" w:firstLineChars="200"/>
        <w:rPr>
          <w:rFonts w:eastAsia="宋体"/>
          <w:snapToGrid w:val="0"/>
          <w:spacing w:val="0"/>
          <w:sz w:val="24"/>
        </w:rPr>
      </w:pPr>
      <w:r>
        <w:rPr>
          <w:rFonts w:hint="eastAsia" w:eastAsia="宋体"/>
          <w:snapToGrid w:val="0"/>
          <w:spacing w:val="0"/>
          <w:sz w:val="24"/>
        </w:rPr>
        <w:t>公司的利润分配政策为：</w:t>
      </w:r>
    </w:p>
    <w:p>
      <w:pPr>
        <w:spacing w:line="460" w:lineRule="exact"/>
        <w:ind w:firstLine="480" w:firstLineChars="200"/>
        <w:rPr>
          <w:rFonts w:eastAsia="宋体"/>
          <w:snapToGrid w:val="0"/>
          <w:spacing w:val="0"/>
          <w:sz w:val="24"/>
        </w:rPr>
      </w:pPr>
      <w:r>
        <w:rPr>
          <w:rFonts w:hint="eastAsia" w:eastAsia="宋体"/>
          <w:snapToGrid w:val="0"/>
          <w:spacing w:val="0"/>
          <w:sz w:val="24"/>
        </w:rPr>
        <w:t>（一）股利分配原则：公司实施积极的利润分配政策，重视对投资者的合理投资回报并兼顾公司的可持续发展，结合公司的盈利情况和业务未来发展战略的实际需要，建立对投资者持续、稳定的回报机制。保持利润分配政策的一致性、合理性和稳定性。公司董事会、监事会和股东大会对利润分配政策的决策和论证过程中应当充分考虑独立董事、外部监事和公众投资者的意见。</w:t>
      </w:r>
    </w:p>
    <w:p>
      <w:pPr>
        <w:spacing w:line="460" w:lineRule="exact"/>
        <w:ind w:firstLine="480" w:firstLineChars="200"/>
        <w:rPr>
          <w:rFonts w:eastAsia="宋体"/>
          <w:snapToGrid w:val="0"/>
          <w:spacing w:val="0"/>
          <w:sz w:val="24"/>
        </w:rPr>
      </w:pPr>
      <w:r>
        <w:rPr>
          <w:rFonts w:hint="eastAsia" w:eastAsia="宋体"/>
          <w:snapToGrid w:val="0"/>
          <w:spacing w:val="0"/>
          <w:sz w:val="24"/>
        </w:rPr>
        <w:t>（二）利润分配形式：</w:t>
      </w:r>
    </w:p>
    <w:p>
      <w:pPr>
        <w:spacing w:line="460" w:lineRule="exact"/>
        <w:ind w:firstLine="480" w:firstLineChars="200"/>
        <w:rPr>
          <w:rFonts w:eastAsia="宋体"/>
          <w:snapToGrid w:val="0"/>
          <w:spacing w:val="0"/>
          <w:sz w:val="24"/>
        </w:rPr>
      </w:pPr>
      <w:r>
        <w:rPr>
          <w:rFonts w:hint="eastAsia" w:eastAsia="宋体"/>
          <w:snapToGrid w:val="0"/>
          <w:spacing w:val="0"/>
          <w:sz w:val="24"/>
        </w:rPr>
        <w:t>公司采取现金、股票股利或者二者相结合的方式分配利润，并优先采取现金分配方式。利润分配不得超过累计可分配利润的范围，不得损害公司持续经营能力。公司董事会可以根据公司盈利及资金需求情况提议公司进行中期现金分红。</w:t>
      </w:r>
    </w:p>
    <w:p>
      <w:pPr>
        <w:spacing w:line="460" w:lineRule="exact"/>
        <w:ind w:firstLine="480" w:firstLineChars="200"/>
        <w:rPr>
          <w:rFonts w:eastAsia="宋体"/>
          <w:snapToGrid w:val="0"/>
          <w:spacing w:val="0"/>
          <w:sz w:val="24"/>
        </w:rPr>
      </w:pPr>
      <w:r>
        <w:rPr>
          <w:rFonts w:hint="eastAsia" w:eastAsia="宋体"/>
          <w:snapToGrid w:val="0"/>
          <w:spacing w:val="0"/>
          <w:sz w:val="24"/>
        </w:rPr>
        <w:t>（三）利润分配的具体比例：</w:t>
      </w:r>
    </w:p>
    <w:p>
      <w:pPr>
        <w:spacing w:line="460" w:lineRule="exact"/>
        <w:ind w:firstLine="480" w:firstLineChars="200"/>
        <w:rPr>
          <w:rFonts w:eastAsia="宋体"/>
          <w:snapToGrid w:val="0"/>
          <w:spacing w:val="0"/>
          <w:sz w:val="24"/>
        </w:rPr>
      </w:pPr>
      <w:r>
        <w:rPr>
          <w:rFonts w:hint="eastAsia" w:eastAsia="宋体"/>
          <w:snapToGrid w:val="0"/>
          <w:spacing w:val="0"/>
          <w:sz w:val="24"/>
        </w:rPr>
        <w:t>如无重大投资计划或重大资金支出发生，公司应当采取现金方式分配股利，最近三年累计以现金方式分配的利润不少于最近三年年均可分配利润的30%。公司在实施上述现金分配股利的同时，可以派发红股。公司的公积金用于弥补公司的亏损、扩大生产经营规模或者转增公司资本，法定公积金转为资本时，所留存的该项公积金将不少于转增前公司注册资本的25%。</w:t>
      </w:r>
    </w:p>
    <w:p>
      <w:pPr>
        <w:spacing w:line="460" w:lineRule="exact"/>
        <w:ind w:firstLine="480" w:firstLineChars="200"/>
        <w:rPr>
          <w:rFonts w:eastAsia="宋体"/>
          <w:snapToGrid w:val="0"/>
          <w:spacing w:val="0"/>
          <w:sz w:val="24"/>
        </w:rPr>
      </w:pPr>
      <w:r>
        <w:rPr>
          <w:rFonts w:hint="eastAsia" w:eastAsia="宋体"/>
          <w:snapToGrid w:val="0"/>
          <w:spacing w:val="0"/>
          <w:sz w:val="24"/>
        </w:rPr>
        <w:t>董事会制定利润分配方案时，综合考虑公司所处的行业特点、同行业的排名、竞争力、利润率等因素论证公司所处的发展阶段，以及是否有重大资金支出安排等因素制定公司的利润分配政策。利润分配方案遵循以下原则：</w:t>
      </w:r>
    </w:p>
    <w:p>
      <w:pPr>
        <w:spacing w:line="460" w:lineRule="exact"/>
        <w:ind w:firstLine="480" w:firstLineChars="200"/>
        <w:rPr>
          <w:rFonts w:eastAsia="宋体"/>
          <w:snapToGrid w:val="0"/>
          <w:spacing w:val="0"/>
          <w:sz w:val="24"/>
        </w:rPr>
      </w:pPr>
      <w:r>
        <w:rPr>
          <w:rFonts w:hint="eastAsia" w:eastAsia="宋体"/>
          <w:snapToGrid w:val="0"/>
          <w:spacing w:val="0"/>
          <w:sz w:val="24"/>
        </w:rPr>
        <w:t>1、在公司发展阶段属于成熟期且无重大资金支出安排的，利润分配方案中现金分红所占比例应达到80% ；</w:t>
      </w:r>
    </w:p>
    <w:p>
      <w:pPr>
        <w:spacing w:line="460" w:lineRule="exact"/>
        <w:ind w:firstLine="480" w:firstLineChars="200"/>
        <w:rPr>
          <w:rFonts w:eastAsia="宋体"/>
          <w:snapToGrid w:val="0"/>
          <w:spacing w:val="0"/>
          <w:sz w:val="24"/>
        </w:rPr>
      </w:pPr>
      <w:r>
        <w:rPr>
          <w:rFonts w:hint="eastAsia" w:eastAsia="宋体"/>
          <w:snapToGrid w:val="0"/>
          <w:spacing w:val="0"/>
          <w:sz w:val="24"/>
        </w:rPr>
        <w:t>2、在公司发展阶段属于成熟期且有重大资金支出安排的，利润分配方案中现金分红所占比例应达到40%；</w:t>
      </w:r>
    </w:p>
    <w:p>
      <w:pPr>
        <w:spacing w:line="460" w:lineRule="exact"/>
        <w:ind w:firstLine="480" w:firstLineChars="200"/>
        <w:rPr>
          <w:rFonts w:eastAsia="宋体"/>
          <w:snapToGrid w:val="0"/>
          <w:spacing w:val="0"/>
          <w:sz w:val="24"/>
        </w:rPr>
      </w:pPr>
      <w:r>
        <w:rPr>
          <w:rFonts w:hint="eastAsia" w:eastAsia="宋体"/>
          <w:snapToGrid w:val="0"/>
          <w:spacing w:val="0"/>
          <w:sz w:val="24"/>
        </w:rPr>
        <w:t>3、在公司发展阶段属于成长期且有重大资金支出安排的，利润分配方案中现金分红所占比例应达到20%；</w:t>
      </w:r>
    </w:p>
    <w:p>
      <w:pPr>
        <w:spacing w:line="460" w:lineRule="exact"/>
        <w:ind w:firstLine="480" w:firstLineChars="200"/>
        <w:rPr>
          <w:rFonts w:eastAsia="宋体"/>
          <w:snapToGrid w:val="0"/>
          <w:spacing w:val="0"/>
          <w:sz w:val="24"/>
        </w:rPr>
      </w:pPr>
      <w:r>
        <w:rPr>
          <w:rFonts w:hint="eastAsia" w:eastAsia="宋体"/>
          <w:snapToGrid w:val="0"/>
          <w:spacing w:val="0"/>
          <w:sz w:val="24"/>
        </w:rPr>
        <w:t>公司发展阶段不易区分但有重大资金支出安排的，按照前项规定处理。</w:t>
      </w:r>
    </w:p>
    <w:p>
      <w:pPr>
        <w:spacing w:line="460" w:lineRule="exact"/>
        <w:ind w:firstLine="480" w:firstLineChars="200"/>
        <w:rPr>
          <w:rFonts w:eastAsia="宋体"/>
          <w:snapToGrid w:val="0"/>
          <w:spacing w:val="0"/>
          <w:sz w:val="24"/>
        </w:rPr>
      </w:pPr>
      <w:r>
        <w:rPr>
          <w:rFonts w:hint="eastAsia" w:eastAsia="宋体"/>
          <w:snapToGrid w:val="0"/>
          <w:spacing w:val="0"/>
          <w:sz w:val="24"/>
        </w:rPr>
        <w:t>重大投资计划或重大资金支出指以下情形之一：</w:t>
      </w:r>
    </w:p>
    <w:p>
      <w:pPr>
        <w:spacing w:line="460" w:lineRule="exact"/>
        <w:ind w:firstLine="480" w:firstLineChars="200"/>
        <w:rPr>
          <w:rFonts w:eastAsia="宋体"/>
          <w:snapToGrid w:val="0"/>
          <w:spacing w:val="0"/>
          <w:sz w:val="24"/>
        </w:rPr>
      </w:pPr>
      <w:r>
        <w:rPr>
          <w:rFonts w:hint="eastAsia" w:eastAsia="宋体"/>
          <w:snapToGrid w:val="0"/>
          <w:spacing w:val="0"/>
          <w:sz w:val="24"/>
        </w:rPr>
        <w:t>1、公司未来十二个月内拟对外投资、收购资产或购买设备累计支出达到或超过公司最近一期经审计净资产的50%，且超过5,000万元；</w:t>
      </w:r>
    </w:p>
    <w:p>
      <w:pPr>
        <w:spacing w:line="460" w:lineRule="exact"/>
        <w:ind w:firstLine="480" w:firstLineChars="200"/>
        <w:rPr>
          <w:rFonts w:eastAsia="宋体"/>
          <w:snapToGrid w:val="0"/>
          <w:spacing w:val="0"/>
          <w:sz w:val="24"/>
        </w:rPr>
      </w:pPr>
      <w:r>
        <w:rPr>
          <w:rFonts w:hint="eastAsia" w:eastAsia="宋体"/>
          <w:snapToGrid w:val="0"/>
          <w:spacing w:val="0"/>
          <w:sz w:val="24"/>
        </w:rPr>
        <w:t>2、公司未来十二个月内拟对外投资、收购资产或购买设备累计支出达到或超过公司最近一期经审计总资产的30%。</w:t>
      </w:r>
    </w:p>
    <w:p>
      <w:pPr>
        <w:spacing w:line="460" w:lineRule="exact"/>
        <w:ind w:firstLine="480" w:firstLineChars="200"/>
        <w:rPr>
          <w:rFonts w:eastAsia="宋体"/>
          <w:snapToGrid w:val="0"/>
          <w:spacing w:val="0"/>
          <w:sz w:val="24"/>
        </w:rPr>
      </w:pPr>
      <w:r>
        <w:rPr>
          <w:rFonts w:hint="eastAsia" w:eastAsia="宋体"/>
          <w:snapToGrid w:val="0"/>
          <w:spacing w:val="0"/>
          <w:sz w:val="24"/>
        </w:rPr>
        <w:t>公司应当及时行使对全资子公司的股东权利，根据全资子公司公司章程的规定，促成全资子公司向公司进行现金分红，并确保该等分红款在公司向股东进行分红前支付给公司。</w:t>
      </w:r>
    </w:p>
    <w:p>
      <w:pPr>
        <w:spacing w:line="460" w:lineRule="exact"/>
        <w:ind w:firstLine="480" w:firstLineChars="200"/>
        <w:rPr>
          <w:rFonts w:eastAsia="宋体"/>
          <w:snapToGrid w:val="0"/>
          <w:spacing w:val="0"/>
          <w:sz w:val="24"/>
        </w:rPr>
      </w:pPr>
      <w:r>
        <w:rPr>
          <w:rFonts w:hint="eastAsia" w:eastAsia="宋体"/>
          <w:snapToGrid w:val="0"/>
          <w:spacing w:val="0"/>
          <w:sz w:val="24"/>
        </w:rPr>
        <w:t>（四）利润分配应履行的程序：</w:t>
      </w:r>
    </w:p>
    <w:p>
      <w:pPr>
        <w:spacing w:line="460" w:lineRule="exact"/>
        <w:ind w:firstLine="480" w:firstLineChars="200"/>
        <w:rPr>
          <w:rFonts w:eastAsia="宋体"/>
          <w:snapToGrid w:val="0"/>
          <w:spacing w:val="0"/>
          <w:sz w:val="24"/>
        </w:rPr>
      </w:pPr>
      <w:r>
        <w:rPr>
          <w:rFonts w:hint="eastAsia" w:eastAsia="宋体"/>
          <w:snapToGrid w:val="0"/>
          <w:spacing w:val="0"/>
          <w:sz w:val="24"/>
        </w:rPr>
        <w:t>公司具体利润分配方案由公司董事会向公司股东大会提出，独立董事应当对董事会制定的利润分配方案是否认真研究和论证公司利润分配方案的时机、条件和最低比例、调整的条件及决策程序等发表明确意见。董事会制定的利润分配方案需经董事会过半数（其中应包含三分之二以上的独立董事）表决通过、监事会半数以上监事表决通过。董事会在利润分配方案中应说明留存的未分配利润的使用计划，独立董事应在董事会审议当年利润分配方案前就利润分配方案的合理性发表独立意见。公司利润分配方案经董事会、监事会审议通过后，由董事会需提交公司股东大会审议。</w:t>
      </w:r>
    </w:p>
    <w:p>
      <w:pPr>
        <w:spacing w:line="460" w:lineRule="exact"/>
        <w:ind w:firstLine="480" w:firstLineChars="200"/>
        <w:rPr>
          <w:rFonts w:eastAsia="宋体"/>
          <w:snapToGrid w:val="0"/>
          <w:spacing w:val="0"/>
          <w:sz w:val="24"/>
        </w:rPr>
      </w:pPr>
      <w:r>
        <w:rPr>
          <w:rFonts w:hint="eastAsia" w:eastAsia="宋体"/>
          <w:snapToGrid w:val="0"/>
          <w:spacing w:val="0"/>
          <w:sz w:val="24"/>
        </w:rPr>
        <w:t>涉及利润分配相关议案，公司独立董事可在股东大会召开前向公司社会公众股股东征集其在股东大会上的投票权，独立董事行使上述职权应当取得全体独立董事的二分之一以上同意。</w:t>
      </w:r>
    </w:p>
    <w:p>
      <w:pPr>
        <w:spacing w:line="460" w:lineRule="exact"/>
        <w:ind w:firstLine="480" w:firstLineChars="200"/>
        <w:rPr>
          <w:rFonts w:eastAsia="宋体"/>
          <w:snapToGrid w:val="0"/>
          <w:spacing w:val="0"/>
          <w:sz w:val="24"/>
        </w:rPr>
      </w:pPr>
      <w:r>
        <w:rPr>
          <w:rFonts w:hint="eastAsia" w:eastAsia="宋体"/>
          <w:snapToGrid w:val="0"/>
          <w:spacing w:val="0"/>
          <w:sz w:val="24"/>
        </w:rPr>
        <w:t>公司股东大会在利润分配方案进行审议前，应当通过深圳证券交易所投资者交流平台、公司网站、电话、传真、电子邮件等多渠道与公众投资者，特别是中小投资者进行沟通与交流，充分听取公众投资者的意见与诉求，公司董事会秘书或证券事务代表及时将有关意见汇总并在审议利润分配方案的董事会上说明。</w:t>
      </w:r>
    </w:p>
    <w:p>
      <w:pPr>
        <w:spacing w:line="460" w:lineRule="exact"/>
        <w:ind w:firstLine="480" w:firstLineChars="200"/>
        <w:rPr>
          <w:rFonts w:eastAsia="宋体"/>
          <w:snapToGrid w:val="0"/>
          <w:spacing w:val="0"/>
          <w:sz w:val="24"/>
        </w:rPr>
      </w:pPr>
      <w:r>
        <w:rPr>
          <w:rFonts w:hint="eastAsia" w:eastAsia="宋体"/>
          <w:snapToGrid w:val="0"/>
          <w:spacing w:val="0"/>
          <w:sz w:val="24"/>
        </w:rPr>
        <w:t>利润分配方案应当由出席股东大会的股东（包括股东代理人）过半数以上表决通过。公司股东大会对利润分配方案作出决议后，公司董事会须在股东大会召开后2个月内完成股利派发事项。</w:t>
      </w:r>
    </w:p>
    <w:p>
      <w:pPr>
        <w:spacing w:line="460" w:lineRule="exact"/>
        <w:ind w:firstLine="480" w:firstLineChars="200"/>
        <w:rPr>
          <w:rFonts w:eastAsia="宋体"/>
          <w:snapToGrid w:val="0"/>
          <w:spacing w:val="0"/>
          <w:sz w:val="24"/>
        </w:rPr>
      </w:pPr>
      <w:r>
        <w:rPr>
          <w:rFonts w:hint="eastAsia" w:eastAsia="宋体"/>
          <w:snapToGrid w:val="0"/>
          <w:spacing w:val="0"/>
          <w:sz w:val="24"/>
        </w:rPr>
        <w:t>（五）利润分配政策的调整：</w:t>
      </w:r>
    </w:p>
    <w:p>
      <w:pPr>
        <w:spacing w:line="460" w:lineRule="exact"/>
        <w:ind w:firstLine="480" w:firstLineChars="200"/>
        <w:rPr>
          <w:rFonts w:eastAsia="宋体"/>
          <w:snapToGrid w:val="0"/>
          <w:spacing w:val="0"/>
          <w:sz w:val="24"/>
        </w:rPr>
      </w:pPr>
      <w:r>
        <w:rPr>
          <w:rFonts w:hint="eastAsia" w:eastAsia="宋体"/>
          <w:snapToGrid w:val="0"/>
          <w:spacing w:val="0"/>
          <w:sz w:val="24"/>
        </w:rPr>
        <w:t>受外部经营环境或者自身经营的不利影响，导致公司营业利润连续两年下滑且累计下滑幅度达到40%以上，或经营活动产生的现金流量净额连续两年为负时，公司可根据需要调整利润分配政策，调整后利润分配政策不得损害股东权益、不得违反中国证监会和证券交易所的有关规定，有关调整利润分配政策的议案需经公司董事会审议后提交公司股东大会批准。</w:t>
      </w:r>
    </w:p>
    <w:p>
      <w:pPr>
        <w:spacing w:line="460" w:lineRule="exact"/>
        <w:ind w:firstLine="480" w:firstLineChars="200"/>
        <w:rPr>
          <w:rFonts w:eastAsia="宋体"/>
          <w:snapToGrid w:val="0"/>
          <w:spacing w:val="0"/>
          <w:sz w:val="24"/>
        </w:rPr>
      </w:pPr>
      <w:r>
        <w:rPr>
          <w:rFonts w:hint="eastAsia" w:eastAsia="宋体"/>
          <w:snapToGrid w:val="0"/>
          <w:spacing w:val="0"/>
          <w:sz w:val="24"/>
        </w:rPr>
        <w:t>如需调整利润分配政策，应由公司董事会根据实际情况提出利润分配政策调整议案，有关调整利润分配政策的议案，需事先征求独立董事及监事会的意见，利润分配政策调整议案需经董事会全体成员过半数（其中包含三分之二以上独立董事）表决通过并经半数以上监事表决通过。经董事会、监事会审议通过的利润分配政策调整方案，由董事会提交公司股东大会审议。</w:t>
      </w:r>
    </w:p>
    <w:p>
      <w:pPr>
        <w:spacing w:line="460" w:lineRule="exact"/>
        <w:ind w:firstLine="480" w:firstLineChars="200"/>
        <w:rPr>
          <w:rFonts w:eastAsia="宋体"/>
          <w:snapToGrid w:val="0"/>
          <w:spacing w:val="0"/>
          <w:sz w:val="24"/>
        </w:rPr>
      </w:pPr>
      <w:r>
        <w:rPr>
          <w:rFonts w:hint="eastAsia" w:eastAsia="宋体"/>
          <w:snapToGrid w:val="0"/>
          <w:spacing w:val="0"/>
          <w:sz w:val="24"/>
        </w:rPr>
        <w:t>董事会需在股东大会提案中详细论证和说明原因，股东大会审议公司利润分配政策调整议案，需经出席股东大会的股东所持表决权的2/3以上审议通过。为充分听取中小股东意见，公司应通过提供网络投票等方式为社会公众股东参加股东大会提供便利，必要时独立董事可公开征集中小股东投票权。</w:t>
      </w:r>
    </w:p>
    <w:p>
      <w:pPr>
        <w:spacing w:line="460" w:lineRule="exact"/>
        <w:ind w:firstLine="480" w:firstLineChars="200"/>
        <w:rPr>
          <w:rFonts w:eastAsia="宋体"/>
          <w:snapToGrid w:val="0"/>
          <w:spacing w:val="0"/>
          <w:sz w:val="24"/>
        </w:rPr>
      </w:pPr>
      <w:r>
        <w:rPr>
          <w:rFonts w:hint="eastAsia" w:eastAsia="宋体"/>
          <w:snapToGrid w:val="0"/>
          <w:spacing w:val="0"/>
          <w:sz w:val="24"/>
        </w:rPr>
        <w:t>公司保证调整后的利润分配政策不得违反中国证监会和证券交易所的有关规定。</w:t>
      </w:r>
    </w:p>
    <w:p>
      <w:pPr>
        <w:spacing w:line="460" w:lineRule="exact"/>
        <w:ind w:firstLine="480" w:firstLineChars="200"/>
        <w:rPr>
          <w:rFonts w:eastAsia="宋体"/>
          <w:snapToGrid w:val="0"/>
          <w:spacing w:val="0"/>
          <w:sz w:val="24"/>
        </w:rPr>
      </w:pPr>
      <w:r>
        <w:rPr>
          <w:rFonts w:hint="eastAsia" w:eastAsia="宋体"/>
          <w:snapToGrid w:val="0"/>
          <w:spacing w:val="0"/>
          <w:sz w:val="24"/>
        </w:rPr>
        <w:t>（六）其他：</w:t>
      </w:r>
    </w:p>
    <w:p>
      <w:pPr>
        <w:numPr>
          <w:ilvl w:val="255"/>
          <w:numId w:val="0"/>
        </w:numPr>
        <w:spacing w:line="460" w:lineRule="exact"/>
        <w:ind w:firstLine="480" w:firstLineChars="200"/>
        <w:rPr>
          <w:rFonts w:eastAsia="宋体"/>
          <w:snapToGrid w:val="0"/>
          <w:spacing w:val="0"/>
          <w:sz w:val="24"/>
        </w:rPr>
      </w:pPr>
      <w:r>
        <w:rPr>
          <w:rFonts w:hint="eastAsia" w:eastAsia="宋体"/>
          <w:snapToGrid w:val="0"/>
          <w:spacing w:val="0"/>
          <w:sz w:val="24"/>
        </w:rPr>
        <w:t>公司股东及其关联方存在违规占用公司资金情况的，公司应当扣减该股东所获分配的现金红利，以偿还其占用的资金。</w:t>
      </w:r>
    </w:p>
    <w:p>
      <w:pPr>
        <w:pStyle w:val="34"/>
        <w:tabs>
          <w:tab w:val="clear" w:pos="1533"/>
        </w:tabs>
        <w:spacing w:before="120" w:after="0" w:line="460" w:lineRule="exact"/>
        <w:rPr>
          <w:rFonts w:eastAsia="宋体"/>
          <w:b/>
          <w:snapToGrid w:val="0"/>
          <w:spacing w:val="0"/>
          <w:sz w:val="24"/>
          <w:szCs w:val="24"/>
        </w:rPr>
      </w:pPr>
      <w:r>
        <w:rPr>
          <w:rFonts w:hint="eastAsia" w:eastAsia="宋体"/>
          <w:b/>
          <w:snapToGrid w:val="0"/>
          <w:spacing w:val="0"/>
          <w:sz w:val="24"/>
          <w:szCs w:val="24"/>
        </w:rPr>
        <w:t xml:space="preserve">  </w:t>
      </w:r>
      <w:bookmarkStart w:id="148" w:name="_Toc20540"/>
      <w:bookmarkStart w:id="149" w:name="_Toc27739"/>
      <w:r>
        <w:rPr>
          <w:rFonts w:eastAsia="宋体"/>
          <w:b/>
          <w:snapToGrid w:val="0"/>
          <w:spacing w:val="0"/>
          <w:sz w:val="24"/>
          <w:szCs w:val="24"/>
        </w:rPr>
        <w:t>内部审计</w:t>
      </w:r>
      <w:bookmarkEnd w:id="148"/>
      <w:bookmarkEnd w:id="149"/>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公司实行内部审计制度，配备专职审计人员，对公司财务收支和经济活动进行内部审计监督。</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公司内部审计制度和审计人员的职责，应当经董事会批准后实施。审计负责人向董事会负责并报告工作。</w:t>
      </w:r>
    </w:p>
    <w:p>
      <w:pPr>
        <w:pStyle w:val="34"/>
        <w:tabs>
          <w:tab w:val="clear" w:pos="1533"/>
        </w:tabs>
        <w:spacing w:before="120" w:after="0" w:line="460" w:lineRule="exact"/>
        <w:rPr>
          <w:rFonts w:eastAsia="宋体"/>
          <w:b/>
          <w:snapToGrid w:val="0"/>
          <w:spacing w:val="0"/>
          <w:sz w:val="24"/>
          <w:szCs w:val="24"/>
        </w:rPr>
      </w:pPr>
      <w:r>
        <w:rPr>
          <w:rFonts w:hint="eastAsia" w:eastAsia="宋体"/>
          <w:b/>
          <w:snapToGrid w:val="0"/>
          <w:spacing w:val="0"/>
          <w:sz w:val="24"/>
          <w:szCs w:val="24"/>
        </w:rPr>
        <w:t xml:space="preserve">  </w:t>
      </w:r>
      <w:bookmarkStart w:id="150" w:name="_Toc12946"/>
      <w:bookmarkStart w:id="151" w:name="_Toc23474"/>
      <w:r>
        <w:rPr>
          <w:rFonts w:eastAsia="宋体"/>
          <w:b/>
          <w:snapToGrid w:val="0"/>
          <w:spacing w:val="0"/>
          <w:sz w:val="24"/>
          <w:szCs w:val="24"/>
        </w:rPr>
        <w:t>会计师事务所的聘任</w:t>
      </w:r>
      <w:bookmarkEnd w:id="150"/>
      <w:bookmarkEnd w:id="151"/>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公司聘用取得</w:t>
      </w:r>
      <w:r>
        <w:rPr>
          <w:rFonts w:hint="eastAsia" w:eastAsia="宋体"/>
          <w:snapToGrid w:val="0"/>
          <w:spacing w:val="0"/>
          <w:sz w:val="24"/>
        </w:rPr>
        <w:t>“</w:t>
      </w:r>
      <w:r>
        <w:rPr>
          <w:rFonts w:eastAsia="宋体"/>
          <w:snapToGrid w:val="0"/>
          <w:spacing w:val="0"/>
          <w:sz w:val="24"/>
        </w:rPr>
        <w:t>证券</w:t>
      </w:r>
      <w:r>
        <w:rPr>
          <w:rFonts w:hint="eastAsia" w:eastAsia="宋体"/>
          <w:snapToGrid w:val="0"/>
          <w:spacing w:val="0"/>
          <w:sz w:val="24"/>
        </w:rPr>
        <w:t>期货</w:t>
      </w:r>
      <w:r>
        <w:rPr>
          <w:rFonts w:eastAsia="宋体"/>
          <w:snapToGrid w:val="0"/>
          <w:spacing w:val="0"/>
          <w:sz w:val="24"/>
        </w:rPr>
        <w:t>相关业务资格</w:t>
      </w:r>
      <w:r>
        <w:rPr>
          <w:rFonts w:hint="eastAsia" w:eastAsia="宋体"/>
          <w:snapToGrid w:val="0"/>
          <w:spacing w:val="0"/>
          <w:sz w:val="24"/>
        </w:rPr>
        <w:t>”</w:t>
      </w:r>
      <w:r>
        <w:rPr>
          <w:rFonts w:eastAsia="宋体"/>
          <w:snapToGrid w:val="0"/>
          <w:spacing w:val="0"/>
          <w:sz w:val="24"/>
        </w:rPr>
        <w:t>的会计师事务所进行会计报表审计、净资产验证及其他相关的咨询服务等业务，聘期一年，可以续聘。</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公司聘用会计师事务所必须由股东大会决定，董事会不得在股东大会决定前委任会计师事务所。</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公司保证向聘用的会计师事务所提供真实、完整的会计凭证、会计账簿、财务会计报告及其他会计资料，不得拒绝、隐匿、谎报。</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会计师事务所的审计费用由股东大会决定。</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公司解聘或者不再续聘会计师事务所时，提前十五天事先通知会计师事务所，公司股东大会就解聘会计师事务所进行表决时，允许会计师事务所陈述意见。</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会计师事务所提出辞聘的，应当向股东大会说明公司有无不当情形。</w:t>
      </w:r>
    </w:p>
    <w:p>
      <w:pPr>
        <w:pStyle w:val="2"/>
        <w:numPr>
          <w:ilvl w:val="0"/>
          <w:numId w:val="0"/>
        </w:numPr>
        <w:spacing w:before="120" w:after="0" w:line="460" w:lineRule="exact"/>
        <w:rPr>
          <w:rFonts w:hint="default" w:eastAsia="宋体"/>
          <w:b/>
          <w:spacing w:val="0"/>
          <w:kern w:val="0"/>
          <w:sz w:val="30"/>
          <w:szCs w:val="30"/>
          <w:lang w:val="en-US" w:eastAsia="zh-CN"/>
        </w:rPr>
      </w:pPr>
      <w:bookmarkStart w:id="152" w:name="_Toc9581"/>
      <w:bookmarkStart w:id="153" w:name="_Toc4580"/>
      <w:r>
        <w:rPr>
          <w:rFonts w:hint="eastAsia" w:eastAsia="宋体"/>
          <w:b/>
          <w:spacing w:val="0"/>
          <w:kern w:val="0"/>
          <w:sz w:val="30"/>
          <w:szCs w:val="30"/>
        </w:rPr>
        <w:t xml:space="preserve">第十一章  </w:t>
      </w:r>
      <w:r>
        <w:rPr>
          <w:rFonts w:eastAsia="宋体"/>
          <w:b/>
          <w:spacing w:val="0"/>
          <w:kern w:val="0"/>
          <w:sz w:val="30"/>
          <w:szCs w:val="30"/>
        </w:rPr>
        <w:t>通知</w:t>
      </w:r>
      <w:bookmarkEnd w:id="152"/>
      <w:bookmarkEnd w:id="153"/>
      <w:r>
        <w:rPr>
          <w:rFonts w:hint="eastAsia" w:eastAsia="宋体"/>
          <w:b/>
          <w:spacing w:val="0"/>
          <w:kern w:val="0"/>
          <w:sz w:val="30"/>
          <w:szCs w:val="30"/>
          <w:lang w:val="en-US" w:eastAsia="zh-CN"/>
        </w:rPr>
        <w:t>和公告</w:t>
      </w:r>
    </w:p>
    <w:p>
      <w:pPr>
        <w:pStyle w:val="31"/>
        <w:tabs>
          <w:tab w:val="clear" w:pos="1533"/>
        </w:tabs>
        <w:spacing w:before="120" w:after="0" w:line="460" w:lineRule="exact"/>
        <w:rPr>
          <w:rFonts w:eastAsia="宋体"/>
          <w:b/>
          <w:snapToGrid w:val="0"/>
          <w:spacing w:val="0"/>
          <w:sz w:val="24"/>
          <w:szCs w:val="24"/>
        </w:rPr>
      </w:pPr>
      <w:r>
        <w:rPr>
          <w:rFonts w:hint="eastAsia" w:eastAsia="宋体"/>
          <w:b/>
          <w:snapToGrid w:val="0"/>
          <w:spacing w:val="0"/>
          <w:sz w:val="24"/>
          <w:szCs w:val="24"/>
        </w:rPr>
        <w:t xml:space="preserve">  </w:t>
      </w:r>
      <w:bookmarkStart w:id="154" w:name="_Toc9026"/>
      <w:bookmarkStart w:id="155" w:name="_Toc21132"/>
      <w:r>
        <w:rPr>
          <w:rFonts w:hint="eastAsia" w:eastAsia="宋体"/>
          <w:b/>
          <w:snapToGrid w:val="0"/>
          <w:spacing w:val="0"/>
          <w:sz w:val="24"/>
          <w:szCs w:val="24"/>
        </w:rPr>
        <w:t>通知</w:t>
      </w:r>
      <w:bookmarkEnd w:id="154"/>
      <w:bookmarkEnd w:id="155"/>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公司的通知以下列形式发出：</w:t>
      </w:r>
    </w:p>
    <w:p>
      <w:pPr>
        <w:spacing w:line="460" w:lineRule="exact"/>
        <w:ind w:firstLine="480" w:firstLineChars="200"/>
        <w:rPr>
          <w:rFonts w:eastAsia="宋体"/>
          <w:snapToGrid w:val="0"/>
          <w:spacing w:val="0"/>
          <w:sz w:val="24"/>
        </w:rPr>
      </w:pPr>
      <w:r>
        <w:rPr>
          <w:rFonts w:eastAsia="宋体"/>
          <w:snapToGrid w:val="0"/>
          <w:spacing w:val="0"/>
          <w:sz w:val="24"/>
        </w:rPr>
        <w:t>（一）以专人送出；</w:t>
      </w:r>
    </w:p>
    <w:p>
      <w:pPr>
        <w:spacing w:line="460" w:lineRule="exact"/>
        <w:ind w:firstLine="480" w:firstLineChars="200"/>
        <w:rPr>
          <w:rFonts w:eastAsia="宋体"/>
          <w:snapToGrid w:val="0"/>
          <w:spacing w:val="0"/>
          <w:sz w:val="24"/>
        </w:rPr>
      </w:pPr>
      <w:r>
        <w:rPr>
          <w:rFonts w:eastAsia="宋体"/>
          <w:snapToGrid w:val="0"/>
          <w:spacing w:val="0"/>
          <w:sz w:val="24"/>
        </w:rPr>
        <w:t>（二）以邮件方式送出；</w:t>
      </w:r>
    </w:p>
    <w:p>
      <w:pPr>
        <w:spacing w:line="460" w:lineRule="exact"/>
        <w:ind w:firstLine="480" w:firstLineChars="200"/>
        <w:rPr>
          <w:rFonts w:eastAsia="宋体"/>
          <w:snapToGrid w:val="0"/>
          <w:spacing w:val="0"/>
          <w:sz w:val="24"/>
        </w:rPr>
      </w:pPr>
      <w:r>
        <w:rPr>
          <w:rFonts w:eastAsia="宋体"/>
          <w:snapToGrid w:val="0"/>
          <w:spacing w:val="0"/>
          <w:sz w:val="24"/>
        </w:rPr>
        <w:t>（三）以公告方式进行；</w:t>
      </w:r>
    </w:p>
    <w:p>
      <w:pPr>
        <w:numPr>
          <w:ilvl w:val="255"/>
          <w:numId w:val="0"/>
        </w:numPr>
        <w:spacing w:line="460" w:lineRule="exact"/>
        <w:ind w:left="426"/>
        <w:rPr>
          <w:rFonts w:eastAsia="宋体"/>
          <w:snapToGrid w:val="0"/>
          <w:spacing w:val="0"/>
          <w:sz w:val="24"/>
        </w:rPr>
      </w:pPr>
      <w:r>
        <w:rPr>
          <w:rFonts w:eastAsia="宋体"/>
          <w:snapToGrid w:val="0"/>
          <w:spacing w:val="0"/>
          <w:sz w:val="24"/>
        </w:rPr>
        <w:t>（四）本章程规定的其他形式。</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w:t>
      </w:r>
      <w:r>
        <w:rPr>
          <w:rFonts w:hint="eastAsia" w:eastAsia="宋体"/>
          <w:snapToGrid w:val="0"/>
          <w:spacing w:val="0"/>
          <w:sz w:val="24"/>
        </w:rPr>
        <w:t>发出</w:t>
      </w:r>
      <w:r>
        <w:rPr>
          <w:rFonts w:eastAsia="宋体"/>
          <w:snapToGrid w:val="0"/>
          <w:spacing w:val="0"/>
          <w:sz w:val="24"/>
        </w:rPr>
        <w:t>通知，</w:t>
      </w:r>
      <w:r>
        <w:rPr>
          <w:rFonts w:hint="eastAsia" w:eastAsia="宋体"/>
          <w:snapToGrid w:val="0"/>
          <w:spacing w:val="0"/>
          <w:sz w:val="24"/>
        </w:rPr>
        <w:t>以公告方式进行的，一经公告，视为所有相关人员收到通知。</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公司召开股东大会的会议通知，以公告方式发出。</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公司召开董事会的会议通知，以专人送出、信函、传真、数据电文等方式发出。</w:t>
      </w:r>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公司召开监事会的会议通知，以专人送出、信函、传真、数据电文等方式发出。</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通知以专人送出的，由被送达人在送达回执上签名（或盖章），被送达人签收日期为送达日期；公司通知以邮件送出的，自交付邮局之日起第七个工作日为送达日期；公司通知以公告方式送出的，第一次公告刊登日为送达日期</w:t>
      </w:r>
      <w:r>
        <w:rPr>
          <w:rFonts w:hint="eastAsia" w:eastAsia="宋体"/>
          <w:snapToGrid w:val="0"/>
          <w:spacing w:val="0"/>
          <w:sz w:val="24"/>
        </w:rPr>
        <w:t>；公司通知以电子邮件发出的，自发出日为送达日期；公司通知以传真发出的，以传真机发出的传真记录时间为送达日期。</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因意外遗漏未向某有权得到通知的人送出会议通知或者该等人没有收到会议通知，会议及会议作出的决议并不因此无效。</w:t>
      </w:r>
    </w:p>
    <w:p>
      <w:pPr>
        <w:pStyle w:val="31"/>
        <w:tabs>
          <w:tab w:val="clear" w:pos="1533"/>
        </w:tabs>
        <w:spacing w:before="120" w:after="0" w:line="460" w:lineRule="exact"/>
        <w:rPr>
          <w:rFonts w:eastAsia="宋体"/>
          <w:b/>
          <w:snapToGrid w:val="0"/>
          <w:spacing w:val="0"/>
          <w:sz w:val="24"/>
          <w:szCs w:val="24"/>
        </w:rPr>
      </w:pPr>
      <w:r>
        <w:rPr>
          <w:rFonts w:hint="eastAsia" w:eastAsia="宋体"/>
          <w:b/>
          <w:snapToGrid w:val="0"/>
          <w:spacing w:val="0"/>
          <w:sz w:val="24"/>
          <w:szCs w:val="24"/>
        </w:rPr>
        <w:t xml:space="preserve">  </w:t>
      </w:r>
      <w:bookmarkStart w:id="156" w:name="_Toc30604"/>
      <w:bookmarkStart w:id="157" w:name="_Toc23096"/>
      <w:r>
        <w:rPr>
          <w:rFonts w:hint="eastAsia" w:eastAsia="宋体"/>
          <w:b/>
          <w:snapToGrid w:val="0"/>
          <w:spacing w:val="0"/>
          <w:sz w:val="24"/>
          <w:szCs w:val="24"/>
        </w:rPr>
        <w:t>公告</w:t>
      </w:r>
      <w:bookmarkEnd w:id="156"/>
      <w:bookmarkEnd w:id="157"/>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公司指定中国证监会认可的报纸及巨潮资讯网（www.cninfo.com.cn）为刊登公司公告和其他需要披露信息的媒体。</w:t>
      </w:r>
    </w:p>
    <w:p>
      <w:pPr>
        <w:pStyle w:val="2"/>
        <w:numPr>
          <w:ilvl w:val="0"/>
          <w:numId w:val="0"/>
        </w:numPr>
        <w:spacing w:before="120" w:after="0" w:line="460" w:lineRule="exact"/>
        <w:ind w:left="2"/>
        <w:rPr>
          <w:rFonts w:eastAsia="宋体"/>
          <w:b/>
          <w:spacing w:val="0"/>
          <w:kern w:val="0"/>
          <w:sz w:val="30"/>
          <w:szCs w:val="30"/>
        </w:rPr>
      </w:pPr>
      <w:bookmarkStart w:id="158" w:name="_Toc8021"/>
      <w:bookmarkStart w:id="159" w:name="_Toc2849"/>
      <w:r>
        <w:rPr>
          <w:rFonts w:eastAsia="宋体"/>
          <w:b/>
          <w:spacing w:val="0"/>
          <w:kern w:val="0"/>
          <w:sz w:val="30"/>
          <w:szCs w:val="30"/>
        </w:rPr>
        <w:t>第十</w:t>
      </w:r>
      <w:r>
        <w:rPr>
          <w:rFonts w:hint="eastAsia" w:eastAsia="宋体"/>
          <w:b/>
          <w:spacing w:val="0"/>
          <w:kern w:val="0"/>
          <w:sz w:val="30"/>
          <w:szCs w:val="30"/>
        </w:rPr>
        <w:t>二</w:t>
      </w:r>
      <w:r>
        <w:rPr>
          <w:rFonts w:eastAsia="宋体"/>
          <w:b/>
          <w:spacing w:val="0"/>
          <w:kern w:val="0"/>
          <w:sz w:val="30"/>
          <w:szCs w:val="30"/>
        </w:rPr>
        <w:t>章  合并、分立、增资、减资、解散和清算</w:t>
      </w:r>
      <w:bookmarkEnd w:id="158"/>
      <w:bookmarkEnd w:id="159"/>
    </w:p>
    <w:p>
      <w:pPr>
        <w:pStyle w:val="31"/>
        <w:numPr>
          <w:ilvl w:val="0"/>
          <w:numId w:val="0"/>
        </w:numPr>
        <w:tabs>
          <w:tab w:val="left" w:pos="1155"/>
          <w:tab w:val="clear" w:pos="1533"/>
        </w:tabs>
        <w:spacing w:before="120" w:after="0" w:line="460" w:lineRule="exact"/>
        <w:rPr>
          <w:rFonts w:eastAsia="宋体"/>
          <w:b/>
          <w:snapToGrid w:val="0"/>
          <w:spacing w:val="0"/>
          <w:sz w:val="24"/>
          <w:szCs w:val="24"/>
        </w:rPr>
      </w:pPr>
      <w:bookmarkStart w:id="160" w:name="_Toc29075"/>
      <w:bookmarkStart w:id="161" w:name="_Toc20599"/>
      <w:r>
        <w:rPr>
          <w:rFonts w:hint="eastAsia" w:eastAsia="宋体"/>
          <w:b/>
          <w:snapToGrid w:val="0"/>
          <w:spacing w:val="0"/>
          <w:sz w:val="24"/>
          <w:szCs w:val="24"/>
        </w:rPr>
        <w:t xml:space="preserve">第一节  </w:t>
      </w:r>
      <w:r>
        <w:rPr>
          <w:rFonts w:eastAsia="宋体"/>
          <w:b/>
          <w:snapToGrid w:val="0"/>
          <w:spacing w:val="0"/>
          <w:sz w:val="24"/>
          <w:szCs w:val="24"/>
        </w:rPr>
        <w:t>合并、分立、增资和减资</w:t>
      </w:r>
      <w:bookmarkEnd w:id="160"/>
      <w:bookmarkEnd w:id="161"/>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公司合并可以采取吸收合并或者新设合并。</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一个公司吸收其他公司为吸收合并，被吸收的公司解散。两个以上公司合并设立一个新的公司为新设合并，合并各方解散。</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公司合并，应当由合并各方签订合并协议，并编制资产负债表及财产清单。公司应当自作出合并决议之日起十日内通知债权人，并于三十日在公司指定的信息披露媒体上公告。债权人自接到通知书之日起三十日内，未接到通知书的自公告之日起四十五日内，可以要求公司清偿债务或者提供相应的担保。</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公司合并时，合并各方的债权、债务，由合并后存续的公司或者新设的公司承继。</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公司分立，其财产作相应的分割。</w:t>
      </w:r>
    </w:p>
    <w:p>
      <w:pPr>
        <w:numPr>
          <w:ilvl w:val="255"/>
          <w:numId w:val="0"/>
        </w:numPr>
        <w:tabs>
          <w:tab w:val="left" w:pos="0"/>
        </w:tabs>
        <w:spacing w:line="460" w:lineRule="exact"/>
        <w:ind w:left="6" w:firstLine="420" w:firstLineChars="175"/>
        <w:rPr>
          <w:rFonts w:eastAsia="宋体"/>
          <w:snapToGrid w:val="0"/>
          <w:spacing w:val="0"/>
          <w:sz w:val="24"/>
        </w:rPr>
      </w:pPr>
      <w:r>
        <w:rPr>
          <w:rFonts w:eastAsia="宋体"/>
          <w:snapToGrid w:val="0"/>
          <w:spacing w:val="0"/>
          <w:sz w:val="24"/>
        </w:rPr>
        <w:t>公司分立，应当编制资产负债表及财产清单。公司应当自作出分立决议之日起十日内通知债权人，并于三十日内</w:t>
      </w:r>
      <w:r>
        <w:rPr>
          <w:rFonts w:hint="eastAsia" w:eastAsia="宋体"/>
          <w:snapToGrid w:val="0"/>
          <w:spacing w:val="0"/>
          <w:sz w:val="24"/>
        </w:rPr>
        <w:t>在公司指定的信息披露媒体上</w:t>
      </w:r>
      <w:r>
        <w:rPr>
          <w:rFonts w:eastAsia="宋体"/>
          <w:snapToGrid w:val="0"/>
          <w:spacing w:val="0"/>
          <w:sz w:val="24"/>
        </w:rPr>
        <w:t>公告。</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公司分立前的债务由分立后的公司承担连带责任。但是，公司在分立前与债权人就债务清偿达成的书面协议另有约定的除外。</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公司需要减少注册资本时，必须编制资产负债表及财产清单。</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公司应当自作出减少注册资本决议之日起十日内通知债权人，并于三十日内</w:t>
      </w:r>
      <w:r>
        <w:rPr>
          <w:rFonts w:hint="eastAsia" w:eastAsia="宋体"/>
          <w:snapToGrid w:val="0"/>
          <w:spacing w:val="0"/>
          <w:sz w:val="24"/>
        </w:rPr>
        <w:t>在公司指定的信息披露媒体上</w:t>
      </w:r>
      <w:r>
        <w:rPr>
          <w:rFonts w:eastAsia="宋体"/>
          <w:snapToGrid w:val="0"/>
          <w:spacing w:val="0"/>
          <w:sz w:val="24"/>
        </w:rPr>
        <w:t>公告。债权人自接到通知书之日起三十日内，未接到通知书的自公告之日起四十五日内，有权要求公司清偿债务或者提供相应的担保。</w:t>
      </w:r>
    </w:p>
    <w:p>
      <w:pPr>
        <w:numPr>
          <w:ilvl w:val="0"/>
          <w:numId w:val="8"/>
        </w:numPr>
        <w:tabs>
          <w:tab w:val="left" w:pos="1840"/>
          <w:tab w:val="clear" w:pos="1605"/>
        </w:tabs>
        <w:spacing w:line="460" w:lineRule="exact"/>
        <w:ind w:left="-16" w:firstLine="442"/>
        <w:rPr>
          <w:rFonts w:eastAsia="宋体"/>
          <w:snapToGrid w:val="0"/>
          <w:spacing w:val="0"/>
          <w:sz w:val="24"/>
        </w:rPr>
      </w:pPr>
      <w:r>
        <w:rPr>
          <w:rFonts w:eastAsia="宋体"/>
          <w:snapToGrid w:val="0"/>
          <w:spacing w:val="0"/>
          <w:sz w:val="24"/>
        </w:rPr>
        <w:t>公司合并或者分立，登记事项发生变更的，应当依法向公司登记机关办理变更登记；公司解散的，应当依法办理公司注销登记；设立新公司的，应当依法办理公司设立登记。</w:t>
      </w:r>
    </w:p>
    <w:p>
      <w:pPr>
        <w:numPr>
          <w:ilvl w:val="255"/>
          <w:numId w:val="0"/>
        </w:numPr>
        <w:spacing w:line="460" w:lineRule="exact"/>
        <w:ind w:left="426"/>
        <w:rPr>
          <w:rFonts w:eastAsia="宋体"/>
          <w:snapToGrid w:val="0"/>
          <w:spacing w:val="0"/>
          <w:sz w:val="24"/>
        </w:rPr>
      </w:pPr>
      <w:r>
        <w:rPr>
          <w:rFonts w:eastAsia="宋体"/>
          <w:snapToGrid w:val="0"/>
          <w:spacing w:val="0"/>
          <w:sz w:val="24"/>
        </w:rPr>
        <w:t>公司增加或者减少注册资本，应当依法向公司登记机关办理变更登记。</w:t>
      </w:r>
    </w:p>
    <w:p>
      <w:pPr>
        <w:pStyle w:val="31"/>
        <w:numPr>
          <w:ilvl w:val="0"/>
          <w:numId w:val="0"/>
        </w:numPr>
        <w:tabs>
          <w:tab w:val="clear" w:pos="1533"/>
        </w:tabs>
        <w:spacing w:before="120" w:after="0" w:line="460" w:lineRule="exact"/>
        <w:ind w:left="524"/>
        <w:rPr>
          <w:rFonts w:eastAsia="宋体"/>
          <w:b/>
          <w:snapToGrid w:val="0"/>
          <w:spacing w:val="0"/>
          <w:sz w:val="24"/>
          <w:szCs w:val="24"/>
        </w:rPr>
      </w:pPr>
      <w:bookmarkStart w:id="162" w:name="_Toc16468"/>
      <w:bookmarkStart w:id="163" w:name="_Toc8159"/>
      <w:r>
        <w:rPr>
          <w:rFonts w:hint="eastAsia" w:eastAsia="宋体"/>
          <w:b/>
          <w:snapToGrid w:val="0"/>
          <w:spacing w:val="0"/>
          <w:sz w:val="24"/>
          <w:szCs w:val="24"/>
        </w:rPr>
        <w:t xml:space="preserve">第二节  </w:t>
      </w:r>
      <w:r>
        <w:rPr>
          <w:rFonts w:eastAsia="宋体"/>
          <w:b/>
          <w:snapToGrid w:val="0"/>
          <w:spacing w:val="0"/>
          <w:sz w:val="24"/>
          <w:szCs w:val="24"/>
        </w:rPr>
        <w:t>解散和清算</w:t>
      </w:r>
      <w:bookmarkEnd w:id="162"/>
      <w:bookmarkEnd w:id="163"/>
    </w:p>
    <w:p>
      <w:pPr>
        <w:numPr>
          <w:ilvl w:val="0"/>
          <w:numId w:val="8"/>
        </w:numPr>
        <w:spacing w:line="460" w:lineRule="exact"/>
        <w:ind w:left="-16" w:firstLine="442"/>
        <w:rPr>
          <w:rFonts w:eastAsia="宋体"/>
          <w:snapToGrid w:val="0"/>
          <w:spacing w:val="0"/>
          <w:sz w:val="24"/>
        </w:rPr>
      </w:pPr>
      <w:r>
        <w:rPr>
          <w:rFonts w:eastAsia="宋体"/>
          <w:snapToGrid w:val="0"/>
          <w:spacing w:val="0"/>
          <w:sz w:val="24"/>
        </w:rPr>
        <w:t>公司因下列原因解散：</w:t>
      </w:r>
    </w:p>
    <w:p>
      <w:pPr>
        <w:spacing w:line="460" w:lineRule="exact"/>
        <w:ind w:firstLine="480" w:firstLineChars="200"/>
        <w:rPr>
          <w:rFonts w:eastAsia="宋体"/>
          <w:snapToGrid w:val="0"/>
          <w:spacing w:val="0"/>
          <w:sz w:val="24"/>
        </w:rPr>
      </w:pPr>
      <w:r>
        <w:rPr>
          <w:rFonts w:eastAsia="宋体"/>
          <w:snapToGrid w:val="0"/>
          <w:spacing w:val="0"/>
          <w:sz w:val="24"/>
        </w:rPr>
        <w:t>（一）本章程规定的营业期限届满或者本章程规定的其他解散事由出现；</w:t>
      </w:r>
    </w:p>
    <w:p>
      <w:pPr>
        <w:spacing w:line="460" w:lineRule="exact"/>
        <w:ind w:firstLine="480" w:firstLineChars="200"/>
        <w:rPr>
          <w:rFonts w:eastAsia="宋体"/>
          <w:snapToGrid w:val="0"/>
          <w:spacing w:val="0"/>
          <w:sz w:val="24"/>
        </w:rPr>
      </w:pPr>
      <w:r>
        <w:rPr>
          <w:rFonts w:eastAsia="宋体"/>
          <w:snapToGrid w:val="0"/>
          <w:spacing w:val="0"/>
          <w:sz w:val="24"/>
        </w:rPr>
        <w:t>（二）股东大会决议解散；</w:t>
      </w:r>
    </w:p>
    <w:p>
      <w:pPr>
        <w:spacing w:line="460" w:lineRule="exact"/>
        <w:ind w:firstLine="480" w:firstLineChars="200"/>
        <w:rPr>
          <w:rFonts w:eastAsia="宋体"/>
          <w:snapToGrid w:val="0"/>
          <w:spacing w:val="0"/>
          <w:sz w:val="24"/>
        </w:rPr>
      </w:pPr>
      <w:r>
        <w:rPr>
          <w:rFonts w:eastAsia="宋体"/>
          <w:snapToGrid w:val="0"/>
          <w:spacing w:val="0"/>
          <w:sz w:val="24"/>
        </w:rPr>
        <w:t>（三）因公司合并或者分立需要解散；</w:t>
      </w:r>
    </w:p>
    <w:p>
      <w:pPr>
        <w:spacing w:line="460" w:lineRule="exact"/>
        <w:ind w:firstLine="480" w:firstLineChars="200"/>
        <w:rPr>
          <w:rFonts w:eastAsia="宋体"/>
          <w:snapToGrid w:val="0"/>
          <w:spacing w:val="0"/>
          <w:sz w:val="24"/>
        </w:rPr>
      </w:pPr>
      <w:r>
        <w:rPr>
          <w:rFonts w:eastAsia="宋体"/>
          <w:snapToGrid w:val="0"/>
          <w:spacing w:val="0"/>
          <w:sz w:val="24"/>
        </w:rPr>
        <w:t>（四）依法被吊销营业执照、责令关闭或者被撤销；</w:t>
      </w:r>
    </w:p>
    <w:p>
      <w:pPr>
        <w:numPr>
          <w:ilvl w:val="255"/>
          <w:numId w:val="0"/>
        </w:numPr>
        <w:spacing w:line="460" w:lineRule="exact"/>
        <w:ind w:left="6" w:firstLine="420" w:firstLineChars="175"/>
        <w:rPr>
          <w:rFonts w:eastAsia="宋体"/>
          <w:snapToGrid w:val="0"/>
          <w:spacing w:val="0"/>
          <w:sz w:val="24"/>
        </w:rPr>
      </w:pPr>
      <w:r>
        <w:rPr>
          <w:rFonts w:eastAsia="宋体"/>
          <w:snapToGrid w:val="0"/>
          <w:spacing w:val="0"/>
          <w:sz w:val="24"/>
        </w:rPr>
        <w:t>（五）公司经营管理发生严重困难，继续存续会使股东利益受到重大损失，通过其他途径不能解决的，持有公司全部股东表决权百分之十以上的股东，可以请求人民法院解散公司。</w:t>
      </w:r>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公司有本章程第二百〇一条第（一）项情形的，可以通过修改本章程而存续。</w:t>
      </w:r>
    </w:p>
    <w:p>
      <w:pPr>
        <w:numPr>
          <w:ilvl w:val="255"/>
          <w:numId w:val="0"/>
        </w:numPr>
        <w:spacing w:line="460" w:lineRule="exact"/>
        <w:ind w:left="6" w:firstLine="420" w:firstLineChars="175"/>
        <w:rPr>
          <w:rFonts w:eastAsia="宋体"/>
          <w:snapToGrid w:val="0"/>
          <w:spacing w:val="0"/>
          <w:sz w:val="24"/>
        </w:rPr>
      </w:pPr>
      <w:r>
        <w:rPr>
          <w:rFonts w:eastAsia="宋体"/>
          <w:snapToGrid w:val="0"/>
          <w:spacing w:val="0"/>
          <w:sz w:val="24"/>
        </w:rPr>
        <w:t>依照前款规定修改本章程，须经出席股东大会会议的股东所持表决权的三分之二以上通过。</w:t>
      </w:r>
    </w:p>
    <w:p>
      <w:pPr>
        <w:numPr>
          <w:ilvl w:val="0"/>
          <w:numId w:val="8"/>
        </w:numPr>
        <w:tabs>
          <w:tab w:val="left" w:pos="2360"/>
          <w:tab w:val="clear" w:pos="1605"/>
        </w:tabs>
        <w:spacing w:line="460" w:lineRule="exact"/>
        <w:ind w:left="-16" w:firstLine="442"/>
        <w:rPr>
          <w:rFonts w:eastAsia="宋体"/>
          <w:snapToGrid w:val="0"/>
          <w:spacing w:val="0"/>
          <w:sz w:val="24"/>
        </w:rPr>
      </w:pPr>
      <w:r>
        <w:rPr>
          <w:rFonts w:hint="eastAsia" w:eastAsia="宋体"/>
          <w:snapToGrid w:val="0"/>
          <w:spacing w:val="0"/>
          <w:sz w:val="24"/>
        </w:rPr>
        <w:t>公司因本章程第二百〇一条第（一）项、第（二）项、第（四）项、第（五）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清算组在清算期间行使下列职权：</w:t>
      </w:r>
    </w:p>
    <w:p>
      <w:pPr>
        <w:spacing w:line="460" w:lineRule="exact"/>
        <w:ind w:firstLine="480" w:firstLineChars="200"/>
        <w:rPr>
          <w:rFonts w:eastAsia="宋体"/>
          <w:snapToGrid w:val="0"/>
          <w:spacing w:val="0"/>
          <w:sz w:val="24"/>
        </w:rPr>
      </w:pPr>
      <w:r>
        <w:rPr>
          <w:rFonts w:eastAsia="宋体"/>
          <w:snapToGrid w:val="0"/>
          <w:spacing w:val="0"/>
          <w:sz w:val="24"/>
        </w:rPr>
        <w:t>（一）清理公司财产，分别编制资产负债表和财产清单；</w:t>
      </w:r>
    </w:p>
    <w:p>
      <w:pPr>
        <w:spacing w:line="460" w:lineRule="exact"/>
        <w:ind w:firstLine="480" w:firstLineChars="200"/>
        <w:rPr>
          <w:rFonts w:eastAsia="宋体"/>
          <w:snapToGrid w:val="0"/>
          <w:spacing w:val="0"/>
          <w:sz w:val="24"/>
        </w:rPr>
      </w:pPr>
      <w:r>
        <w:rPr>
          <w:rFonts w:eastAsia="宋体"/>
          <w:snapToGrid w:val="0"/>
          <w:spacing w:val="0"/>
          <w:sz w:val="24"/>
        </w:rPr>
        <w:t>（二）通知、公告债权人；</w:t>
      </w:r>
    </w:p>
    <w:p>
      <w:pPr>
        <w:spacing w:line="460" w:lineRule="exact"/>
        <w:ind w:firstLine="480" w:firstLineChars="200"/>
        <w:rPr>
          <w:rFonts w:eastAsia="宋体"/>
          <w:snapToGrid w:val="0"/>
          <w:spacing w:val="0"/>
          <w:sz w:val="24"/>
        </w:rPr>
      </w:pPr>
      <w:r>
        <w:rPr>
          <w:rFonts w:eastAsia="宋体"/>
          <w:snapToGrid w:val="0"/>
          <w:spacing w:val="0"/>
          <w:sz w:val="24"/>
        </w:rPr>
        <w:t>（三）处理与清算有关的公司未了结的业务；</w:t>
      </w:r>
    </w:p>
    <w:p>
      <w:pPr>
        <w:spacing w:line="460" w:lineRule="exact"/>
        <w:ind w:firstLine="480" w:firstLineChars="200"/>
        <w:rPr>
          <w:rFonts w:eastAsia="宋体"/>
          <w:snapToGrid w:val="0"/>
          <w:spacing w:val="0"/>
          <w:sz w:val="24"/>
        </w:rPr>
      </w:pPr>
      <w:r>
        <w:rPr>
          <w:rFonts w:eastAsia="宋体"/>
          <w:snapToGrid w:val="0"/>
          <w:spacing w:val="0"/>
          <w:sz w:val="24"/>
        </w:rPr>
        <w:t>（四）清缴所欠税款以及清算过程中产生的税款；</w:t>
      </w:r>
    </w:p>
    <w:p>
      <w:pPr>
        <w:spacing w:line="460" w:lineRule="exact"/>
        <w:ind w:firstLine="480" w:firstLineChars="200"/>
        <w:rPr>
          <w:rFonts w:eastAsia="宋体"/>
          <w:snapToGrid w:val="0"/>
          <w:spacing w:val="0"/>
          <w:sz w:val="24"/>
        </w:rPr>
      </w:pPr>
      <w:r>
        <w:rPr>
          <w:rFonts w:eastAsia="宋体"/>
          <w:snapToGrid w:val="0"/>
          <w:spacing w:val="0"/>
          <w:sz w:val="24"/>
        </w:rPr>
        <w:t>（五）清理债权、债务；</w:t>
      </w:r>
    </w:p>
    <w:p>
      <w:pPr>
        <w:spacing w:line="460" w:lineRule="exact"/>
        <w:ind w:firstLine="480" w:firstLineChars="200"/>
        <w:rPr>
          <w:rFonts w:eastAsia="宋体"/>
          <w:snapToGrid w:val="0"/>
          <w:spacing w:val="0"/>
          <w:sz w:val="24"/>
        </w:rPr>
      </w:pPr>
      <w:r>
        <w:rPr>
          <w:rFonts w:eastAsia="宋体"/>
          <w:snapToGrid w:val="0"/>
          <w:spacing w:val="0"/>
          <w:sz w:val="24"/>
        </w:rPr>
        <w:t>（六）处理公司清偿债务后的剩余财产；</w:t>
      </w:r>
    </w:p>
    <w:p>
      <w:pPr>
        <w:numPr>
          <w:ilvl w:val="255"/>
          <w:numId w:val="0"/>
        </w:numPr>
        <w:spacing w:line="460" w:lineRule="exact"/>
        <w:ind w:left="426"/>
        <w:rPr>
          <w:rFonts w:eastAsia="宋体"/>
          <w:snapToGrid w:val="0"/>
          <w:spacing w:val="0"/>
          <w:sz w:val="24"/>
        </w:rPr>
      </w:pPr>
      <w:r>
        <w:rPr>
          <w:rFonts w:eastAsia="宋体"/>
          <w:snapToGrid w:val="0"/>
          <w:spacing w:val="0"/>
          <w:sz w:val="24"/>
        </w:rPr>
        <w:t>（七）代表公司参与民事诉讼活动。</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清算组应当自成立之日起十日内通知债权人，并于六十日内</w:t>
      </w:r>
      <w:r>
        <w:rPr>
          <w:rFonts w:hint="eastAsia" w:eastAsia="宋体"/>
          <w:snapToGrid w:val="0"/>
          <w:spacing w:val="0"/>
          <w:sz w:val="24"/>
        </w:rPr>
        <w:t>在公司指定的信息披露媒体上</w:t>
      </w:r>
      <w:r>
        <w:rPr>
          <w:rFonts w:eastAsia="宋体"/>
          <w:snapToGrid w:val="0"/>
          <w:spacing w:val="0"/>
          <w:sz w:val="24"/>
        </w:rPr>
        <w:t>公告。债权人应当自接到通知书之日起三十日内，未接到通知书的自公告之日起四十五日内，向清算组申报其债权。</w:t>
      </w:r>
    </w:p>
    <w:p>
      <w:pPr>
        <w:spacing w:line="460" w:lineRule="exact"/>
        <w:ind w:firstLine="480" w:firstLineChars="200"/>
        <w:rPr>
          <w:rFonts w:eastAsia="宋体"/>
          <w:snapToGrid w:val="0"/>
          <w:spacing w:val="0"/>
          <w:sz w:val="24"/>
        </w:rPr>
      </w:pPr>
      <w:r>
        <w:rPr>
          <w:rFonts w:eastAsia="宋体"/>
          <w:snapToGrid w:val="0"/>
          <w:spacing w:val="0"/>
          <w:sz w:val="24"/>
        </w:rPr>
        <w:t>债权人申报债权，应当说明债权的有关事项，并提供证明材料。清算组应当对债权进行登记。</w:t>
      </w:r>
    </w:p>
    <w:p>
      <w:pPr>
        <w:numPr>
          <w:ilvl w:val="255"/>
          <w:numId w:val="0"/>
        </w:numPr>
        <w:spacing w:line="460" w:lineRule="exact"/>
        <w:ind w:left="426"/>
        <w:rPr>
          <w:rFonts w:eastAsia="宋体"/>
          <w:snapToGrid w:val="0"/>
          <w:spacing w:val="0"/>
          <w:sz w:val="24"/>
        </w:rPr>
      </w:pPr>
      <w:r>
        <w:rPr>
          <w:rFonts w:eastAsia="宋体"/>
          <w:snapToGrid w:val="0"/>
          <w:spacing w:val="0"/>
          <w:sz w:val="24"/>
        </w:rPr>
        <w:t>在申报债权期间，清算组不得对债权人进行清偿。</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清算组在清理公司财产、编制资产负债表和财产清单后，应当制定清算方案，并报股东大会或者人民法院确认。</w:t>
      </w:r>
    </w:p>
    <w:p>
      <w:pPr>
        <w:spacing w:line="460" w:lineRule="exact"/>
        <w:ind w:firstLine="480" w:firstLineChars="200"/>
        <w:rPr>
          <w:rFonts w:eastAsia="宋体"/>
          <w:snapToGrid w:val="0"/>
          <w:spacing w:val="0"/>
          <w:sz w:val="24"/>
        </w:rPr>
      </w:pPr>
      <w:r>
        <w:rPr>
          <w:rFonts w:eastAsia="宋体"/>
          <w:snapToGrid w:val="0"/>
          <w:spacing w:val="0"/>
          <w:sz w:val="24"/>
        </w:rPr>
        <w:t>公司财产在分别支付清算费用、职工的工资、社会保险费用和法定补偿金，缴纳所欠税款，清偿公司债务后的剩余财产，公司按照股东持有的股份比例分配。</w:t>
      </w:r>
    </w:p>
    <w:p>
      <w:pPr>
        <w:numPr>
          <w:ilvl w:val="255"/>
          <w:numId w:val="0"/>
        </w:numPr>
        <w:spacing w:line="460" w:lineRule="exact"/>
        <w:ind w:left="6" w:firstLine="420" w:firstLineChars="175"/>
        <w:rPr>
          <w:rFonts w:eastAsia="宋体"/>
          <w:snapToGrid w:val="0"/>
          <w:spacing w:val="0"/>
          <w:sz w:val="24"/>
        </w:rPr>
      </w:pPr>
      <w:r>
        <w:rPr>
          <w:rFonts w:eastAsia="宋体"/>
          <w:snapToGrid w:val="0"/>
          <w:spacing w:val="0"/>
          <w:sz w:val="24"/>
        </w:rPr>
        <w:t>清算期间，公司存续，但不能开展与清算无关的经营活动。公司财产在未按前款规定清偿前，将不会分配给股东。</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清算组在清理公司财产、编制资产负债表和财产清单后，发现公司财产不足清偿债务的，应当依法向人民法院申请宣告破产。</w:t>
      </w:r>
    </w:p>
    <w:p>
      <w:pPr>
        <w:numPr>
          <w:ilvl w:val="255"/>
          <w:numId w:val="0"/>
        </w:numPr>
        <w:spacing w:line="460" w:lineRule="exact"/>
        <w:ind w:left="426"/>
        <w:rPr>
          <w:rFonts w:eastAsia="宋体"/>
          <w:snapToGrid w:val="0"/>
          <w:spacing w:val="0"/>
          <w:sz w:val="24"/>
        </w:rPr>
      </w:pPr>
      <w:r>
        <w:rPr>
          <w:rFonts w:eastAsia="宋体"/>
          <w:snapToGrid w:val="0"/>
          <w:spacing w:val="0"/>
          <w:sz w:val="24"/>
        </w:rPr>
        <w:t>公司经人民法院裁定宣告破产后，清算组应当将清算事务移交给人民法院。</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公司清算结束后，清算组应当制作清算报告，报股东大会或者人民法院确认，并报送公司登记机关，申请注销公司登记，公告公司终止。</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清算组成员应当忠于职守，依法履行清算义务。</w:t>
      </w:r>
    </w:p>
    <w:p>
      <w:pPr>
        <w:spacing w:line="460" w:lineRule="exact"/>
        <w:ind w:firstLine="480" w:firstLineChars="200"/>
        <w:rPr>
          <w:rFonts w:eastAsia="宋体"/>
          <w:snapToGrid w:val="0"/>
          <w:spacing w:val="0"/>
          <w:sz w:val="24"/>
        </w:rPr>
      </w:pPr>
      <w:r>
        <w:rPr>
          <w:rFonts w:eastAsia="宋体"/>
          <w:snapToGrid w:val="0"/>
          <w:spacing w:val="0"/>
          <w:sz w:val="24"/>
        </w:rPr>
        <w:t>清算组成员不得利用职权收受贿赂或者其他非法收入，不得侵占公司财产。</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清算组成员因故意或者重大过失给公司或者债权人造成损失的，应当承担赔偿责任。</w:t>
      </w:r>
    </w:p>
    <w:p>
      <w:pPr>
        <w:numPr>
          <w:ilvl w:val="0"/>
          <w:numId w:val="8"/>
        </w:numPr>
        <w:tabs>
          <w:tab w:val="left" w:pos="2360"/>
          <w:tab w:val="clear" w:pos="1605"/>
        </w:tabs>
        <w:spacing w:line="460" w:lineRule="exact"/>
        <w:ind w:left="-16" w:firstLine="442"/>
        <w:rPr>
          <w:rFonts w:eastAsia="宋体"/>
          <w:snapToGrid w:val="0"/>
          <w:spacing w:val="0"/>
          <w:sz w:val="24"/>
        </w:rPr>
      </w:pPr>
      <w:r>
        <w:rPr>
          <w:rFonts w:eastAsia="宋体"/>
          <w:snapToGrid w:val="0"/>
          <w:spacing w:val="0"/>
          <w:sz w:val="24"/>
        </w:rPr>
        <w:t>公司被依法宣告破产的，依照有关企业破产的法律实施破产清算。</w:t>
      </w:r>
    </w:p>
    <w:p>
      <w:pPr>
        <w:pStyle w:val="2"/>
        <w:numPr>
          <w:ilvl w:val="0"/>
          <w:numId w:val="0"/>
        </w:numPr>
        <w:spacing w:before="120" w:after="0" w:line="460" w:lineRule="exact"/>
        <w:ind w:left="2"/>
        <w:rPr>
          <w:rFonts w:eastAsia="宋体"/>
          <w:b/>
          <w:spacing w:val="0"/>
          <w:kern w:val="0"/>
          <w:sz w:val="30"/>
          <w:szCs w:val="30"/>
        </w:rPr>
      </w:pPr>
      <w:bookmarkStart w:id="164" w:name="_Toc6369"/>
      <w:bookmarkStart w:id="165" w:name="_Toc24711"/>
      <w:r>
        <w:rPr>
          <w:rFonts w:eastAsia="宋体"/>
          <w:b/>
          <w:spacing w:val="0"/>
          <w:kern w:val="0"/>
          <w:sz w:val="30"/>
          <w:szCs w:val="30"/>
        </w:rPr>
        <w:t>第十</w:t>
      </w:r>
      <w:r>
        <w:rPr>
          <w:rFonts w:hint="eastAsia" w:eastAsia="宋体"/>
          <w:b/>
          <w:spacing w:val="0"/>
          <w:kern w:val="0"/>
          <w:sz w:val="30"/>
          <w:szCs w:val="30"/>
        </w:rPr>
        <w:t>三章</w:t>
      </w:r>
      <w:r>
        <w:rPr>
          <w:rFonts w:eastAsia="宋体"/>
          <w:b/>
          <w:spacing w:val="0"/>
          <w:kern w:val="0"/>
          <w:sz w:val="30"/>
          <w:szCs w:val="30"/>
        </w:rPr>
        <w:t xml:space="preserve">  修改章程</w:t>
      </w:r>
      <w:bookmarkEnd w:id="164"/>
      <w:bookmarkEnd w:id="165"/>
    </w:p>
    <w:p>
      <w:pPr>
        <w:numPr>
          <w:ilvl w:val="0"/>
          <w:numId w:val="8"/>
        </w:numPr>
        <w:spacing w:line="460" w:lineRule="exact"/>
        <w:ind w:left="-16" w:firstLine="442"/>
        <w:rPr>
          <w:rFonts w:eastAsia="宋体"/>
          <w:snapToGrid w:val="0"/>
          <w:spacing w:val="0"/>
          <w:sz w:val="24"/>
        </w:rPr>
      </w:pPr>
      <w:r>
        <w:rPr>
          <w:rFonts w:eastAsia="宋体"/>
          <w:snapToGrid w:val="0"/>
          <w:spacing w:val="0"/>
          <w:sz w:val="24"/>
        </w:rPr>
        <w:t>有下列情形之一的，公司应当修改章程：</w:t>
      </w:r>
    </w:p>
    <w:p>
      <w:pPr>
        <w:spacing w:line="460" w:lineRule="exact"/>
        <w:ind w:firstLine="480" w:firstLineChars="200"/>
        <w:rPr>
          <w:rFonts w:eastAsia="宋体"/>
          <w:snapToGrid w:val="0"/>
          <w:spacing w:val="0"/>
          <w:sz w:val="24"/>
        </w:rPr>
      </w:pPr>
      <w:r>
        <w:rPr>
          <w:rFonts w:eastAsia="宋体"/>
          <w:snapToGrid w:val="0"/>
          <w:spacing w:val="0"/>
          <w:sz w:val="24"/>
        </w:rPr>
        <w:t>（一）《公司法》或有关法律、行政法规修改后，章程规定的事项与修改后的法律、行政法规的规定相抵触；</w:t>
      </w:r>
    </w:p>
    <w:p>
      <w:pPr>
        <w:spacing w:line="460" w:lineRule="exact"/>
        <w:ind w:firstLine="480" w:firstLineChars="200"/>
        <w:rPr>
          <w:rFonts w:eastAsia="宋体"/>
          <w:snapToGrid w:val="0"/>
          <w:spacing w:val="0"/>
          <w:sz w:val="24"/>
        </w:rPr>
      </w:pPr>
      <w:r>
        <w:rPr>
          <w:rFonts w:eastAsia="宋体"/>
          <w:snapToGrid w:val="0"/>
          <w:spacing w:val="0"/>
          <w:sz w:val="24"/>
        </w:rPr>
        <w:t>（二）公司的情况发生变化，与章程记载的事项不一致；</w:t>
      </w:r>
    </w:p>
    <w:p>
      <w:pPr>
        <w:numPr>
          <w:ilvl w:val="255"/>
          <w:numId w:val="0"/>
        </w:numPr>
        <w:spacing w:line="460" w:lineRule="exact"/>
        <w:ind w:firstLine="480" w:firstLineChars="200"/>
        <w:rPr>
          <w:rFonts w:eastAsia="宋体"/>
          <w:snapToGrid w:val="0"/>
          <w:spacing w:val="0"/>
          <w:sz w:val="24"/>
        </w:rPr>
      </w:pPr>
      <w:r>
        <w:rPr>
          <w:rFonts w:eastAsia="宋体"/>
          <w:snapToGrid w:val="0"/>
          <w:spacing w:val="0"/>
          <w:sz w:val="24"/>
        </w:rPr>
        <w:t>（三）股东大会决定修改章程。</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股东大会决议通过的章程修改事项应经主管机关审批的，须报主管机关批准；涉及公司登记事项的，依法办理变更登记。</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董事会依照股东大会修改章程的决议和有关主管机关的审批意见修改本章程。</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章程修改事项属于法律、法规要求披露的信息，按规定予以公告。</w:t>
      </w:r>
    </w:p>
    <w:p>
      <w:pPr>
        <w:pStyle w:val="2"/>
        <w:numPr>
          <w:ilvl w:val="0"/>
          <w:numId w:val="0"/>
        </w:numPr>
        <w:spacing w:before="120" w:after="0" w:line="460" w:lineRule="exact"/>
        <w:ind w:left="2"/>
        <w:rPr>
          <w:rFonts w:eastAsia="宋体"/>
          <w:b/>
          <w:spacing w:val="0"/>
          <w:kern w:val="0"/>
          <w:sz w:val="30"/>
          <w:szCs w:val="30"/>
        </w:rPr>
      </w:pPr>
      <w:bookmarkStart w:id="166" w:name="_Toc16636"/>
      <w:bookmarkStart w:id="167" w:name="_Toc10905"/>
      <w:r>
        <w:rPr>
          <w:rFonts w:eastAsia="宋体"/>
          <w:b/>
          <w:spacing w:val="0"/>
          <w:kern w:val="0"/>
          <w:sz w:val="30"/>
          <w:szCs w:val="30"/>
        </w:rPr>
        <w:t>第十</w:t>
      </w:r>
      <w:r>
        <w:rPr>
          <w:rFonts w:hint="eastAsia" w:eastAsia="宋体"/>
          <w:b/>
          <w:spacing w:val="0"/>
          <w:kern w:val="0"/>
          <w:sz w:val="30"/>
          <w:szCs w:val="30"/>
        </w:rPr>
        <w:t>四</w:t>
      </w:r>
      <w:r>
        <w:rPr>
          <w:rFonts w:eastAsia="宋体"/>
          <w:b/>
          <w:spacing w:val="0"/>
          <w:kern w:val="0"/>
          <w:sz w:val="30"/>
          <w:szCs w:val="30"/>
        </w:rPr>
        <w:t>章  附则</w:t>
      </w:r>
      <w:bookmarkEnd w:id="166"/>
      <w:bookmarkEnd w:id="167"/>
    </w:p>
    <w:p>
      <w:pPr>
        <w:numPr>
          <w:ilvl w:val="0"/>
          <w:numId w:val="8"/>
        </w:numPr>
        <w:spacing w:line="460" w:lineRule="exact"/>
        <w:ind w:left="-16" w:firstLine="442"/>
        <w:rPr>
          <w:rFonts w:eastAsia="宋体"/>
          <w:snapToGrid w:val="0"/>
          <w:spacing w:val="0"/>
          <w:sz w:val="24"/>
        </w:rPr>
      </w:pPr>
      <w:r>
        <w:rPr>
          <w:rFonts w:eastAsia="宋体"/>
          <w:snapToGrid w:val="0"/>
          <w:spacing w:val="0"/>
          <w:sz w:val="24"/>
        </w:rPr>
        <w:t>释义</w:t>
      </w:r>
    </w:p>
    <w:p>
      <w:pPr>
        <w:spacing w:line="460" w:lineRule="exact"/>
        <w:ind w:firstLine="480" w:firstLineChars="200"/>
        <w:rPr>
          <w:rFonts w:eastAsia="宋体"/>
          <w:snapToGrid w:val="0"/>
          <w:spacing w:val="0"/>
          <w:sz w:val="24"/>
        </w:rPr>
      </w:pPr>
      <w:r>
        <w:rPr>
          <w:rFonts w:eastAsia="宋体"/>
          <w:snapToGrid w:val="0"/>
          <w:spacing w:val="0"/>
          <w:sz w:val="24"/>
        </w:rPr>
        <w:t>（一）控股股东，是指其持有的股份占公司股本总额百分之五十以上的股东；持有股份的比例虽然不足百分之五十，但依其持有的股份所享有的表决权已足以对股东大会的决议产生重大影响的股东。</w:t>
      </w:r>
    </w:p>
    <w:p>
      <w:pPr>
        <w:spacing w:line="460" w:lineRule="exact"/>
        <w:ind w:firstLine="480" w:firstLineChars="200"/>
        <w:rPr>
          <w:rFonts w:eastAsia="宋体"/>
          <w:snapToGrid w:val="0"/>
          <w:spacing w:val="0"/>
          <w:sz w:val="24"/>
        </w:rPr>
      </w:pPr>
      <w:r>
        <w:rPr>
          <w:rFonts w:eastAsia="宋体"/>
          <w:snapToGrid w:val="0"/>
          <w:spacing w:val="0"/>
          <w:sz w:val="24"/>
        </w:rPr>
        <w:t>（二）实际控制人，是指虽不是公司的股东，但通过投资关系、协议或者其他安排，能够实际支配公司行为的人。</w:t>
      </w:r>
    </w:p>
    <w:p>
      <w:pPr>
        <w:numPr>
          <w:ilvl w:val="255"/>
          <w:numId w:val="0"/>
        </w:numPr>
        <w:tabs>
          <w:tab w:val="left" w:pos="0"/>
        </w:tabs>
        <w:spacing w:line="460" w:lineRule="exact"/>
        <w:ind w:firstLine="480" w:firstLineChars="200"/>
        <w:rPr>
          <w:rFonts w:eastAsia="宋体"/>
          <w:snapToGrid w:val="0"/>
          <w:spacing w:val="0"/>
          <w:sz w:val="24"/>
        </w:rPr>
      </w:pPr>
      <w:r>
        <w:rPr>
          <w:rFonts w:eastAsia="宋体"/>
          <w:snapToGrid w:val="0"/>
          <w:spacing w:val="0"/>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董事会可依照章程的规定，制订章程细则。章程细则不得与章程的规定相抵触。</w:t>
      </w:r>
    </w:p>
    <w:p>
      <w:pPr>
        <w:numPr>
          <w:ilvl w:val="0"/>
          <w:numId w:val="8"/>
        </w:numPr>
        <w:spacing w:line="460" w:lineRule="exact"/>
        <w:ind w:left="-16" w:firstLine="442"/>
        <w:rPr>
          <w:rFonts w:eastAsia="宋体"/>
          <w:snapToGrid w:val="0"/>
          <w:spacing w:val="0"/>
          <w:sz w:val="24"/>
        </w:rPr>
      </w:pPr>
      <w:r>
        <w:rPr>
          <w:rFonts w:hint="eastAsia" w:eastAsia="宋体"/>
          <w:snapToGrid w:val="0"/>
          <w:spacing w:val="0"/>
          <w:sz w:val="24"/>
        </w:rPr>
        <w:t>本章程以中文书写，其他任何语种或不同版本的章程与本章程有歧义时，以在东莞市市场监督管理局最近一次核准登记后的中文版章程为准。</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本章程所称</w:t>
      </w:r>
      <w:r>
        <w:rPr>
          <w:rFonts w:hint="eastAsia" w:eastAsia="宋体"/>
          <w:snapToGrid w:val="0"/>
          <w:spacing w:val="0"/>
          <w:sz w:val="24"/>
        </w:rPr>
        <w:t>“</w:t>
      </w:r>
      <w:r>
        <w:rPr>
          <w:rFonts w:eastAsia="宋体"/>
          <w:snapToGrid w:val="0"/>
          <w:spacing w:val="0"/>
          <w:sz w:val="24"/>
        </w:rPr>
        <w:t>以上</w:t>
      </w:r>
      <w:r>
        <w:rPr>
          <w:rFonts w:hint="eastAsia" w:eastAsia="宋体"/>
          <w:snapToGrid w:val="0"/>
          <w:spacing w:val="0"/>
          <w:sz w:val="24"/>
        </w:rPr>
        <w:t>”</w:t>
      </w:r>
      <w:r>
        <w:rPr>
          <w:rFonts w:eastAsia="宋体"/>
          <w:snapToGrid w:val="0"/>
          <w:spacing w:val="0"/>
          <w:sz w:val="24"/>
        </w:rPr>
        <w:t>、</w:t>
      </w:r>
      <w:r>
        <w:rPr>
          <w:rFonts w:hint="eastAsia" w:eastAsia="宋体"/>
          <w:snapToGrid w:val="0"/>
          <w:spacing w:val="0"/>
          <w:sz w:val="24"/>
        </w:rPr>
        <w:t>“</w:t>
      </w:r>
      <w:r>
        <w:rPr>
          <w:rFonts w:eastAsia="宋体"/>
          <w:snapToGrid w:val="0"/>
          <w:spacing w:val="0"/>
          <w:sz w:val="24"/>
        </w:rPr>
        <w:t>以内</w:t>
      </w:r>
      <w:r>
        <w:rPr>
          <w:rFonts w:hint="eastAsia" w:eastAsia="宋体"/>
          <w:snapToGrid w:val="0"/>
          <w:spacing w:val="0"/>
          <w:sz w:val="24"/>
        </w:rPr>
        <w:t>”</w:t>
      </w:r>
      <w:r>
        <w:rPr>
          <w:rFonts w:eastAsia="宋体"/>
          <w:snapToGrid w:val="0"/>
          <w:spacing w:val="0"/>
          <w:sz w:val="24"/>
        </w:rPr>
        <w:t>、</w:t>
      </w:r>
      <w:r>
        <w:rPr>
          <w:rFonts w:hint="eastAsia" w:eastAsia="宋体"/>
          <w:snapToGrid w:val="0"/>
          <w:spacing w:val="0"/>
          <w:sz w:val="24"/>
        </w:rPr>
        <w:t>“</w:t>
      </w:r>
      <w:r>
        <w:rPr>
          <w:rFonts w:eastAsia="宋体"/>
          <w:snapToGrid w:val="0"/>
          <w:spacing w:val="0"/>
          <w:sz w:val="24"/>
        </w:rPr>
        <w:t>以下</w:t>
      </w:r>
      <w:r>
        <w:rPr>
          <w:rFonts w:hint="eastAsia" w:eastAsia="宋体"/>
          <w:snapToGrid w:val="0"/>
          <w:spacing w:val="0"/>
          <w:sz w:val="24"/>
        </w:rPr>
        <w:t>”</w:t>
      </w:r>
      <w:r>
        <w:rPr>
          <w:rFonts w:eastAsia="宋体"/>
          <w:snapToGrid w:val="0"/>
          <w:spacing w:val="0"/>
          <w:sz w:val="24"/>
        </w:rPr>
        <w:t>，都含本数；</w:t>
      </w:r>
      <w:r>
        <w:rPr>
          <w:rFonts w:hint="eastAsia" w:eastAsia="宋体"/>
          <w:snapToGrid w:val="0"/>
          <w:spacing w:val="0"/>
          <w:sz w:val="24"/>
        </w:rPr>
        <w:t>“</w:t>
      </w:r>
      <w:r>
        <w:rPr>
          <w:rFonts w:eastAsia="宋体"/>
          <w:snapToGrid w:val="0"/>
          <w:spacing w:val="0"/>
          <w:sz w:val="24"/>
        </w:rPr>
        <w:t>以外</w:t>
      </w:r>
      <w:r>
        <w:rPr>
          <w:rFonts w:hint="eastAsia" w:eastAsia="宋体"/>
          <w:snapToGrid w:val="0"/>
          <w:spacing w:val="0"/>
          <w:sz w:val="24"/>
        </w:rPr>
        <w:t>”</w:t>
      </w:r>
      <w:r>
        <w:rPr>
          <w:rFonts w:eastAsia="宋体"/>
          <w:snapToGrid w:val="0"/>
          <w:spacing w:val="0"/>
          <w:sz w:val="24"/>
        </w:rPr>
        <w:t>、</w:t>
      </w:r>
      <w:r>
        <w:rPr>
          <w:rFonts w:hint="eastAsia" w:eastAsia="宋体"/>
          <w:snapToGrid w:val="0"/>
          <w:spacing w:val="0"/>
          <w:sz w:val="24"/>
        </w:rPr>
        <w:t>“</w:t>
      </w:r>
      <w:r>
        <w:rPr>
          <w:rFonts w:eastAsia="宋体"/>
          <w:snapToGrid w:val="0"/>
          <w:spacing w:val="0"/>
          <w:sz w:val="24"/>
        </w:rPr>
        <w:t>低于</w:t>
      </w:r>
      <w:r>
        <w:rPr>
          <w:rFonts w:hint="eastAsia" w:eastAsia="宋体"/>
          <w:snapToGrid w:val="0"/>
          <w:spacing w:val="0"/>
          <w:sz w:val="24"/>
        </w:rPr>
        <w:t>”</w:t>
      </w:r>
      <w:r>
        <w:rPr>
          <w:rFonts w:eastAsia="宋体"/>
          <w:snapToGrid w:val="0"/>
          <w:spacing w:val="0"/>
          <w:sz w:val="24"/>
        </w:rPr>
        <w:t>、</w:t>
      </w:r>
      <w:r>
        <w:rPr>
          <w:rFonts w:hint="eastAsia" w:eastAsia="宋体"/>
          <w:snapToGrid w:val="0"/>
          <w:spacing w:val="0"/>
          <w:sz w:val="24"/>
        </w:rPr>
        <w:t>“</w:t>
      </w:r>
      <w:r>
        <w:rPr>
          <w:rFonts w:eastAsia="宋体"/>
          <w:snapToGrid w:val="0"/>
          <w:spacing w:val="0"/>
          <w:sz w:val="24"/>
        </w:rPr>
        <w:t>多于</w:t>
      </w:r>
      <w:r>
        <w:rPr>
          <w:rFonts w:hint="eastAsia" w:eastAsia="宋体"/>
          <w:snapToGrid w:val="0"/>
          <w:spacing w:val="0"/>
          <w:sz w:val="24"/>
        </w:rPr>
        <w:t>”</w:t>
      </w:r>
      <w:r>
        <w:rPr>
          <w:rFonts w:eastAsia="宋体"/>
          <w:snapToGrid w:val="0"/>
          <w:spacing w:val="0"/>
          <w:sz w:val="24"/>
        </w:rPr>
        <w:t>不含本数。</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本章程由公司董事会负责解释。</w:t>
      </w:r>
    </w:p>
    <w:p>
      <w:pPr>
        <w:numPr>
          <w:ilvl w:val="0"/>
          <w:numId w:val="8"/>
        </w:numPr>
        <w:tabs>
          <w:tab w:val="left" w:pos="2360"/>
          <w:tab w:val="clear" w:pos="1605"/>
        </w:tabs>
        <w:spacing w:line="460" w:lineRule="exact"/>
        <w:ind w:left="-16" w:firstLine="442"/>
        <w:rPr>
          <w:rFonts w:eastAsia="宋体"/>
          <w:snapToGrid w:val="0"/>
          <w:spacing w:val="0"/>
          <w:sz w:val="24"/>
        </w:rPr>
      </w:pPr>
      <w:bookmarkStart w:id="168" w:name="_GoBack"/>
      <w:bookmarkEnd w:id="168"/>
      <w:r>
        <w:rPr>
          <w:rFonts w:hint="eastAsia" w:eastAsia="宋体"/>
          <w:snapToGrid w:val="0"/>
          <w:spacing w:val="0"/>
          <w:sz w:val="24"/>
        </w:rPr>
        <w:t>本章程附件包括股东大会议事规则、董事会议事规则和监事会议事规则。</w:t>
      </w:r>
    </w:p>
    <w:p>
      <w:pPr>
        <w:numPr>
          <w:ilvl w:val="0"/>
          <w:numId w:val="8"/>
        </w:numPr>
        <w:spacing w:line="460" w:lineRule="exact"/>
        <w:ind w:left="-16" w:firstLine="442"/>
        <w:rPr>
          <w:rFonts w:eastAsia="宋体"/>
          <w:snapToGrid w:val="0"/>
          <w:spacing w:val="0"/>
          <w:sz w:val="24"/>
        </w:rPr>
      </w:pPr>
      <w:r>
        <w:rPr>
          <w:rFonts w:eastAsia="宋体"/>
          <w:snapToGrid w:val="0"/>
          <w:spacing w:val="0"/>
          <w:sz w:val="24"/>
        </w:rPr>
        <w:t>本章程经</w:t>
      </w:r>
      <w:r>
        <w:rPr>
          <w:rFonts w:hint="eastAsia" w:eastAsia="宋体"/>
          <w:snapToGrid w:val="0"/>
          <w:spacing w:val="0"/>
          <w:sz w:val="24"/>
        </w:rPr>
        <w:t>股东大</w:t>
      </w:r>
      <w:r>
        <w:rPr>
          <w:rFonts w:eastAsia="宋体"/>
          <w:snapToGrid w:val="0"/>
          <w:spacing w:val="0"/>
          <w:sz w:val="24"/>
        </w:rPr>
        <w:t>会审议通过</w:t>
      </w:r>
      <w:r>
        <w:rPr>
          <w:rFonts w:hint="eastAsia" w:eastAsia="宋体"/>
          <w:snapToGrid w:val="0"/>
          <w:spacing w:val="0"/>
          <w:sz w:val="24"/>
        </w:rPr>
        <w:t>之日起施行。</w:t>
      </w:r>
    </w:p>
    <w:p>
      <w:pPr>
        <w:spacing w:line="460" w:lineRule="exact"/>
        <w:ind w:left="426"/>
        <w:rPr>
          <w:rFonts w:eastAsia="宋体"/>
          <w:sz w:val="24"/>
        </w:rPr>
      </w:pPr>
    </w:p>
    <w:p>
      <w:pPr>
        <w:spacing w:line="460" w:lineRule="exact"/>
        <w:ind w:firstLine="126" w:firstLineChars="50"/>
        <w:rPr>
          <w:rFonts w:eastAsia="宋体"/>
          <w:sz w:val="24"/>
        </w:rPr>
      </w:pPr>
    </w:p>
    <w:p>
      <w:pPr>
        <w:wordWrap w:val="0"/>
        <w:spacing w:line="460" w:lineRule="exact"/>
        <w:ind w:firstLine="480" w:firstLineChars="200"/>
        <w:jc w:val="right"/>
        <w:rPr>
          <w:rFonts w:eastAsia="宋体"/>
          <w:snapToGrid w:val="0"/>
          <w:spacing w:val="0"/>
          <w:sz w:val="24"/>
        </w:rPr>
      </w:pPr>
      <w:r>
        <w:rPr>
          <w:rFonts w:hint="eastAsia" w:eastAsia="宋体"/>
          <w:snapToGrid w:val="0"/>
          <w:spacing w:val="0"/>
          <w:sz w:val="24"/>
        </w:rPr>
        <w:t>广东宏川智慧物流股份有限公司</w:t>
      </w:r>
    </w:p>
    <w:p>
      <w:pPr>
        <w:wordWrap w:val="0"/>
        <w:spacing w:line="460" w:lineRule="exact"/>
        <w:ind w:right="232" w:firstLine="480" w:firstLineChars="200"/>
        <w:jc w:val="right"/>
        <w:rPr>
          <w:rFonts w:eastAsia="宋体"/>
          <w:snapToGrid w:val="0"/>
          <w:spacing w:val="0"/>
          <w:sz w:val="24"/>
        </w:rPr>
      </w:pPr>
      <w:r>
        <w:rPr>
          <w:rFonts w:eastAsia="宋体"/>
          <w:snapToGrid w:val="0"/>
          <w:spacing w:val="0"/>
          <w:sz w:val="24"/>
        </w:rPr>
        <w:t>二〇一</w:t>
      </w:r>
      <w:r>
        <w:rPr>
          <w:rFonts w:hint="eastAsia" w:eastAsia="宋体"/>
          <w:snapToGrid w:val="0"/>
          <w:spacing w:val="0"/>
          <w:sz w:val="24"/>
        </w:rPr>
        <w:t>九年</w:t>
      </w:r>
      <w:r>
        <w:rPr>
          <w:rFonts w:hint="eastAsia" w:eastAsia="宋体"/>
          <w:snapToGrid w:val="0"/>
          <w:spacing w:val="0"/>
          <w:sz w:val="24"/>
          <w:lang w:val="en-US" w:eastAsia="zh-CN"/>
        </w:rPr>
        <w:t>八</w:t>
      </w:r>
      <w:r>
        <w:rPr>
          <w:rFonts w:hint="eastAsia" w:eastAsia="宋体"/>
          <w:snapToGrid w:val="0"/>
          <w:spacing w:val="0"/>
          <w:sz w:val="24"/>
        </w:rPr>
        <w:t>月</w:t>
      </w:r>
      <w:r>
        <w:rPr>
          <w:rFonts w:hint="eastAsia" w:eastAsia="宋体"/>
          <w:snapToGrid w:val="0"/>
          <w:spacing w:val="0"/>
          <w:sz w:val="24"/>
          <w:lang w:val="en-US" w:eastAsia="zh-CN"/>
        </w:rPr>
        <w:t>二</w:t>
      </w:r>
      <w:r>
        <w:rPr>
          <w:rFonts w:hint="eastAsia" w:eastAsia="宋体"/>
          <w:snapToGrid w:val="0"/>
          <w:spacing w:val="0"/>
          <w:sz w:val="24"/>
        </w:rPr>
        <w:t xml:space="preserve">十八日 </w:t>
      </w:r>
    </w:p>
    <w:p>
      <w:pPr>
        <w:spacing w:line="460" w:lineRule="exact"/>
        <w:ind w:right="1000" w:firstLine="480" w:firstLineChars="200"/>
        <w:rPr>
          <w:rFonts w:eastAsia="宋体"/>
          <w:snapToGrid w:val="0"/>
          <w:spacing w:val="0"/>
          <w:sz w:val="24"/>
        </w:rPr>
      </w:pPr>
    </w:p>
    <w:sectPr>
      <w:headerReference r:id="rId3" w:type="default"/>
      <w:footerReference r:id="rId4" w:type="default"/>
      <w:pgSz w:w="11906" w:h="16838"/>
      <w:pgMar w:top="907" w:right="1247" w:bottom="737" w:left="124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3"/>
      </w:rPr>
      <w:instrText xml:space="preserve"> PAGE </w:instrText>
    </w:r>
    <w:r>
      <w:fldChar w:fldCharType="separate"/>
    </w:r>
    <w:r>
      <w:rPr>
        <w:rStyle w:val="23"/>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rPr>
    </w:pPr>
    <w:r>
      <w:rPr>
        <w:rFonts w:hint="eastAsia" w:ascii="宋体" w:hAnsi="宋体" w:eastAsia="宋体"/>
      </w:rPr>
      <w:t>广东宏川智慧物流股份有限公司章程（</w:t>
    </w:r>
    <w:r>
      <w:rPr>
        <w:rFonts w:hint="default" w:ascii="Times New Roman" w:hAnsi="Times New Roman" w:eastAsia="宋体"/>
      </w:rPr>
      <w:t>2</w:t>
    </w:r>
    <w:r>
      <w:rPr>
        <w:rFonts w:ascii="Times New Roman" w:hAnsi="Times New Roman" w:eastAsia="宋体"/>
      </w:rPr>
      <w:t>0</w:t>
    </w:r>
    <w:r>
      <w:rPr>
        <w:rFonts w:hint="default" w:ascii="Times New Roman" w:hAnsi="Times New Roman" w:eastAsia="宋体"/>
      </w:rPr>
      <w:t>19</w:t>
    </w:r>
    <w:r>
      <w:rPr>
        <w:rFonts w:ascii="Times New Roman" w:hAnsi="Times New Roman" w:eastAsia="宋体"/>
      </w:rPr>
      <w:t>年</w:t>
    </w:r>
    <w:r>
      <w:rPr>
        <w:rFonts w:hint="default" w:ascii="Times New Roman" w:hAnsi="Times New Roman" w:eastAsia="宋体"/>
        <w:lang w:val="en-US" w:eastAsia="zh-CN"/>
      </w:rPr>
      <w:t>8</w:t>
    </w:r>
    <w:r>
      <w:rPr>
        <w:rFonts w:hint="default" w:ascii="Times New Roman" w:hAnsi="Times New Roman" w:eastAsia="宋体"/>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36"/>
      <w:lvlText w:val="第%1节"/>
      <w:lvlJc w:val="left"/>
      <w:pPr>
        <w:tabs>
          <w:tab w:val="left" w:pos="1533"/>
        </w:tabs>
        <w:ind w:left="2" w:firstLine="52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chineseCountingThousand"/>
      <w:lvlText w:val="第%1条"/>
      <w:lvlJc w:val="left"/>
      <w:pPr>
        <w:tabs>
          <w:tab w:val="left" w:pos="1605"/>
        </w:tabs>
        <w:ind w:left="-96" w:firstLine="522"/>
      </w:pPr>
      <w:rPr>
        <w:rFonts w:hint="default" w:ascii="宋体" w:hAnsi="宋体" w:eastAsia="宋体"/>
        <w:b/>
        <w:sz w:val="24"/>
        <w:szCs w:val="24"/>
        <w:lang w:val="en-US"/>
      </w:rPr>
    </w:lvl>
    <w:lvl w:ilvl="1" w:tentative="0">
      <w:start w:val="1"/>
      <w:numFmt w:val="chineseCountingThousand"/>
      <w:lvlText w:val="第%2节"/>
      <w:lvlJc w:val="left"/>
      <w:pPr>
        <w:tabs>
          <w:tab w:val="left" w:pos="1429"/>
        </w:tabs>
        <w:ind w:left="-102" w:firstLine="522"/>
      </w:pPr>
      <w:rPr>
        <w:rFonts w:hint="default"/>
      </w:rPr>
    </w:lvl>
    <w:lvl w:ilvl="2" w:tentative="0">
      <w:start w:val="2"/>
      <w:numFmt w:val="japaneseCounting"/>
      <w:lvlText w:val="第%3节"/>
      <w:lvlJc w:val="left"/>
      <w:pPr>
        <w:tabs>
          <w:tab w:val="left" w:pos="1860"/>
        </w:tabs>
        <w:ind w:left="1860" w:hanging="1020"/>
      </w:pPr>
      <w:rPr>
        <w:rFonts w:hint="default"/>
      </w:rPr>
    </w:lvl>
    <w:lvl w:ilvl="3" w:tentative="0">
      <w:start w:val="9"/>
      <w:numFmt w:val="japaneseCounting"/>
      <w:lvlText w:val="第%4章"/>
      <w:lvlJc w:val="left"/>
      <w:pPr>
        <w:tabs>
          <w:tab w:val="left" w:pos="2520"/>
        </w:tabs>
        <w:ind w:left="2520" w:hanging="12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chineseCountingThousand"/>
      <w:pStyle w:val="35"/>
      <w:lvlText w:val="第%1节"/>
      <w:lvlJc w:val="left"/>
      <w:pPr>
        <w:tabs>
          <w:tab w:val="left" w:pos="1533"/>
        </w:tabs>
        <w:ind w:left="2" w:firstLine="52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chineseCountingThousand"/>
      <w:pStyle w:val="2"/>
      <w:lvlText w:val="第%1章"/>
      <w:lvlJc w:val="left"/>
      <w:pPr>
        <w:tabs>
          <w:tab w:val="left" w:pos="4684"/>
        </w:tabs>
        <w:ind w:left="3153" w:firstLine="52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chineseCountingThousand"/>
      <w:pStyle w:val="32"/>
      <w:lvlText w:val="第%1节"/>
      <w:lvlJc w:val="left"/>
      <w:pPr>
        <w:tabs>
          <w:tab w:val="left" w:pos="1408"/>
        </w:tabs>
        <w:ind w:left="1408" w:hanging="360"/>
      </w:pPr>
      <w:rPr>
        <w:rFonts w:hint="default" w:ascii="Times New Roman" w:hAnsi="Times New Roman" w:eastAsia="黑体" w:cs="Times New Roman"/>
        <w:b w:val="0"/>
        <w:bCs w:val="0"/>
        <w:i w:val="0"/>
        <w:iCs w:val="0"/>
        <w:caps w:val="0"/>
        <w:strike w:val="0"/>
        <w:dstrike w:val="0"/>
        <w:vanish w:val="0"/>
        <w:color w:val="000000"/>
        <w:kern w:val="0"/>
        <w:position w:val="0"/>
        <w:sz w:val="25"/>
        <w:szCs w:val="25"/>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chineseCountingThousand"/>
      <w:pStyle w:val="34"/>
      <w:lvlText w:val="第%1节"/>
      <w:lvlJc w:val="left"/>
      <w:pPr>
        <w:tabs>
          <w:tab w:val="left" w:pos="1533"/>
        </w:tabs>
        <w:ind w:left="2" w:firstLine="52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chineseCountingThousand"/>
      <w:pStyle w:val="31"/>
      <w:lvlText w:val="第%1节"/>
      <w:lvlJc w:val="left"/>
      <w:pPr>
        <w:tabs>
          <w:tab w:val="left" w:pos="1533"/>
        </w:tabs>
        <w:ind w:left="2" w:firstLine="52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1"/>
    <w:multiLevelType w:val="multilevel"/>
    <w:tmpl w:val="00000011"/>
    <w:lvl w:ilvl="0" w:tentative="0">
      <w:start w:val="1"/>
      <w:numFmt w:val="chineseCountingThousand"/>
      <w:pStyle w:val="38"/>
      <w:lvlText w:val="第%1节"/>
      <w:lvlJc w:val="left"/>
      <w:pPr>
        <w:tabs>
          <w:tab w:val="left" w:pos="1533"/>
        </w:tabs>
        <w:ind w:left="2" w:firstLine="52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8FFEAD2"/>
    <w:multiLevelType w:val="singleLevel"/>
    <w:tmpl w:val="28FFEAD2"/>
    <w:lvl w:ilvl="0" w:tentative="0">
      <w:start w:val="1"/>
      <w:numFmt w:val="chineseCounting"/>
      <w:suff w:val="nothing"/>
      <w:lvlText w:val="（%1）"/>
      <w:lvlJc w:val="left"/>
      <w:rPr>
        <w:rFonts w:hint="eastAsia"/>
      </w:rPr>
    </w:lvl>
  </w:abstractNum>
  <w:abstractNum w:abstractNumId="9">
    <w:nsid w:val="38734111"/>
    <w:multiLevelType w:val="multilevel"/>
    <w:tmpl w:val="38734111"/>
    <w:lvl w:ilvl="0" w:tentative="0">
      <w:start w:val="1"/>
      <w:numFmt w:val="japaneseCounting"/>
      <w:lvlText w:val="（%1）"/>
      <w:lvlJc w:val="left"/>
      <w:pPr>
        <w:ind w:left="1104" w:hanging="720"/>
      </w:pPr>
      <w:rPr>
        <w:rFonts w:hint="eastAsia"/>
      </w:rPr>
    </w:lvl>
    <w:lvl w:ilvl="1" w:tentative="0">
      <w:start w:val="1"/>
      <w:numFmt w:val="lowerLetter"/>
      <w:lvlText w:val="%2)"/>
      <w:lvlJc w:val="left"/>
      <w:pPr>
        <w:ind w:left="1344" w:hanging="480"/>
      </w:pPr>
    </w:lvl>
    <w:lvl w:ilvl="2" w:tentative="0">
      <w:start w:val="1"/>
      <w:numFmt w:val="lowerRoman"/>
      <w:lvlText w:val="%3."/>
      <w:lvlJc w:val="right"/>
      <w:pPr>
        <w:ind w:left="1824" w:hanging="480"/>
      </w:pPr>
    </w:lvl>
    <w:lvl w:ilvl="3" w:tentative="0">
      <w:start w:val="1"/>
      <w:numFmt w:val="decimal"/>
      <w:lvlText w:val="%4."/>
      <w:lvlJc w:val="left"/>
      <w:pPr>
        <w:ind w:left="2304" w:hanging="480"/>
      </w:pPr>
    </w:lvl>
    <w:lvl w:ilvl="4" w:tentative="0">
      <w:start w:val="1"/>
      <w:numFmt w:val="lowerLetter"/>
      <w:lvlText w:val="%5)"/>
      <w:lvlJc w:val="left"/>
      <w:pPr>
        <w:ind w:left="2784" w:hanging="480"/>
      </w:pPr>
    </w:lvl>
    <w:lvl w:ilvl="5" w:tentative="0">
      <w:start w:val="1"/>
      <w:numFmt w:val="lowerRoman"/>
      <w:lvlText w:val="%6."/>
      <w:lvlJc w:val="right"/>
      <w:pPr>
        <w:ind w:left="3264" w:hanging="480"/>
      </w:pPr>
    </w:lvl>
    <w:lvl w:ilvl="6" w:tentative="0">
      <w:start w:val="1"/>
      <w:numFmt w:val="decimal"/>
      <w:lvlText w:val="%7."/>
      <w:lvlJc w:val="left"/>
      <w:pPr>
        <w:ind w:left="3744" w:hanging="480"/>
      </w:pPr>
    </w:lvl>
    <w:lvl w:ilvl="7" w:tentative="0">
      <w:start w:val="1"/>
      <w:numFmt w:val="lowerLetter"/>
      <w:lvlText w:val="%8)"/>
      <w:lvlJc w:val="left"/>
      <w:pPr>
        <w:ind w:left="4224" w:hanging="480"/>
      </w:pPr>
    </w:lvl>
    <w:lvl w:ilvl="8" w:tentative="0">
      <w:start w:val="1"/>
      <w:numFmt w:val="lowerRoman"/>
      <w:lvlText w:val="%9."/>
      <w:lvlJc w:val="right"/>
      <w:pPr>
        <w:ind w:left="4704" w:hanging="480"/>
      </w:pPr>
    </w:lvl>
  </w:abstractNum>
  <w:abstractNum w:abstractNumId="10">
    <w:nsid w:val="40E002CA"/>
    <w:multiLevelType w:val="multilevel"/>
    <w:tmpl w:val="40E002CA"/>
    <w:lvl w:ilvl="0" w:tentative="0">
      <w:start w:val="1"/>
      <w:numFmt w:val="japaneseCounting"/>
      <w:lvlText w:val="（%1）"/>
      <w:lvlJc w:val="left"/>
      <w:pPr>
        <w:ind w:left="1200" w:hanging="72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B6"/>
    <w:rsid w:val="00005830"/>
    <w:rsid w:val="0001638F"/>
    <w:rsid w:val="00023794"/>
    <w:rsid w:val="000269A4"/>
    <w:rsid w:val="0003287C"/>
    <w:rsid w:val="000440BA"/>
    <w:rsid w:val="0004440D"/>
    <w:rsid w:val="000453C8"/>
    <w:rsid w:val="00050D63"/>
    <w:rsid w:val="00060D36"/>
    <w:rsid w:val="000674B9"/>
    <w:rsid w:val="00073F48"/>
    <w:rsid w:val="0009199F"/>
    <w:rsid w:val="000B1A19"/>
    <w:rsid w:val="000B37E2"/>
    <w:rsid w:val="000C74FF"/>
    <w:rsid w:val="000D425D"/>
    <w:rsid w:val="000E1CB0"/>
    <w:rsid w:val="000E2EAF"/>
    <w:rsid w:val="000E7E93"/>
    <w:rsid w:val="00115A2B"/>
    <w:rsid w:val="00117520"/>
    <w:rsid w:val="001351C7"/>
    <w:rsid w:val="00137D13"/>
    <w:rsid w:val="00145839"/>
    <w:rsid w:val="00153F79"/>
    <w:rsid w:val="0015719F"/>
    <w:rsid w:val="00161241"/>
    <w:rsid w:val="001663BD"/>
    <w:rsid w:val="00167862"/>
    <w:rsid w:val="00172A27"/>
    <w:rsid w:val="0018072A"/>
    <w:rsid w:val="0018783F"/>
    <w:rsid w:val="00194058"/>
    <w:rsid w:val="001A5CB4"/>
    <w:rsid w:val="001B6F02"/>
    <w:rsid w:val="001D026B"/>
    <w:rsid w:val="001E0F5F"/>
    <w:rsid w:val="001F0B51"/>
    <w:rsid w:val="00205FFF"/>
    <w:rsid w:val="0021116F"/>
    <w:rsid w:val="0023062E"/>
    <w:rsid w:val="002341B8"/>
    <w:rsid w:val="00234C9D"/>
    <w:rsid w:val="00236095"/>
    <w:rsid w:val="00237B45"/>
    <w:rsid w:val="00240589"/>
    <w:rsid w:val="002425AE"/>
    <w:rsid w:val="00246069"/>
    <w:rsid w:val="00271300"/>
    <w:rsid w:val="00277EB0"/>
    <w:rsid w:val="00285E43"/>
    <w:rsid w:val="002A3D6B"/>
    <w:rsid w:val="002C781B"/>
    <w:rsid w:val="002D4DD2"/>
    <w:rsid w:val="002D6AF5"/>
    <w:rsid w:val="00304735"/>
    <w:rsid w:val="00311100"/>
    <w:rsid w:val="003218AF"/>
    <w:rsid w:val="00323917"/>
    <w:rsid w:val="0033060C"/>
    <w:rsid w:val="00330951"/>
    <w:rsid w:val="00330A07"/>
    <w:rsid w:val="00341ACE"/>
    <w:rsid w:val="003445AF"/>
    <w:rsid w:val="00350F01"/>
    <w:rsid w:val="00361ED3"/>
    <w:rsid w:val="003620EA"/>
    <w:rsid w:val="00377B4E"/>
    <w:rsid w:val="00381674"/>
    <w:rsid w:val="00387348"/>
    <w:rsid w:val="00391F3D"/>
    <w:rsid w:val="003A03F6"/>
    <w:rsid w:val="003A5AFF"/>
    <w:rsid w:val="003B7FFC"/>
    <w:rsid w:val="003C3EB0"/>
    <w:rsid w:val="003D32D8"/>
    <w:rsid w:val="003D3ACB"/>
    <w:rsid w:val="003D59CA"/>
    <w:rsid w:val="003F207C"/>
    <w:rsid w:val="0041537A"/>
    <w:rsid w:val="0042259A"/>
    <w:rsid w:val="00424F07"/>
    <w:rsid w:val="004300E6"/>
    <w:rsid w:val="00434F88"/>
    <w:rsid w:val="00436A95"/>
    <w:rsid w:val="00441FDC"/>
    <w:rsid w:val="00452C22"/>
    <w:rsid w:val="0045707A"/>
    <w:rsid w:val="004631DF"/>
    <w:rsid w:val="00465C1F"/>
    <w:rsid w:val="004703AD"/>
    <w:rsid w:val="004723A4"/>
    <w:rsid w:val="00476583"/>
    <w:rsid w:val="00480E96"/>
    <w:rsid w:val="00490A92"/>
    <w:rsid w:val="004A0398"/>
    <w:rsid w:val="004A2A66"/>
    <w:rsid w:val="004A471F"/>
    <w:rsid w:val="004B10E0"/>
    <w:rsid w:val="004B4A27"/>
    <w:rsid w:val="004B5EC0"/>
    <w:rsid w:val="004C2D42"/>
    <w:rsid w:val="004C326C"/>
    <w:rsid w:val="004C4405"/>
    <w:rsid w:val="004E18FF"/>
    <w:rsid w:val="004E56FC"/>
    <w:rsid w:val="004F122C"/>
    <w:rsid w:val="004F180E"/>
    <w:rsid w:val="005044AF"/>
    <w:rsid w:val="0051129D"/>
    <w:rsid w:val="00511700"/>
    <w:rsid w:val="005215D6"/>
    <w:rsid w:val="00521977"/>
    <w:rsid w:val="005231B4"/>
    <w:rsid w:val="00525C65"/>
    <w:rsid w:val="005331F7"/>
    <w:rsid w:val="00541A0F"/>
    <w:rsid w:val="0054724A"/>
    <w:rsid w:val="00547F4E"/>
    <w:rsid w:val="00577E33"/>
    <w:rsid w:val="00585507"/>
    <w:rsid w:val="00591FD1"/>
    <w:rsid w:val="00597D19"/>
    <w:rsid w:val="005A0C2F"/>
    <w:rsid w:val="005B661C"/>
    <w:rsid w:val="005D6644"/>
    <w:rsid w:val="00633221"/>
    <w:rsid w:val="0063423E"/>
    <w:rsid w:val="006605FA"/>
    <w:rsid w:val="0066409D"/>
    <w:rsid w:val="00664398"/>
    <w:rsid w:val="0068140B"/>
    <w:rsid w:val="006816FC"/>
    <w:rsid w:val="006937C8"/>
    <w:rsid w:val="006A0EB6"/>
    <w:rsid w:val="006B3C30"/>
    <w:rsid w:val="006B4F11"/>
    <w:rsid w:val="006C04BD"/>
    <w:rsid w:val="006C2250"/>
    <w:rsid w:val="006C300E"/>
    <w:rsid w:val="006D5BE3"/>
    <w:rsid w:val="006D6D71"/>
    <w:rsid w:val="006D7E90"/>
    <w:rsid w:val="006E103E"/>
    <w:rsid w:val="006E2721"/>
    <w:rsid w:val="006E4F76"/>
    <w:rsid w:val="006E640F"/>
    <w:rsid w:val="006F1F44"/>
    <w:rsid w:val="006F70B7"/>
    <w:rsid w:val="0070293F"/>
    <w:rsid w:val="007049FF"/>
    <w:rsid w:val="00707B98"/>
    <w:rsid w:val="00711E33"/>
    <w:rsid w:val="007155C1"/>
    <w:rsid w:val="00717A4D"/>
    <w:rsid w:val="00731764"/>
    <w:rsid w:val="007338B2"/>
    <w:rsid w:val="007377C2"/>
    <w:rsid w:val="00745630"/>
    <w:rsid w:val="007512ED"/>
    <w:rsid w:val="00754A20"/>
    <w:rsid w:val="0076614D"/>
    <w:rsid w:val="0077468E"/>
    <w:rsid w:val="00780627"/>
    <w:rsid w:val="00784729"/>
    <w:rsid w:val="007A0278"/>
    <w:rsid w:val="007A212F"/>
    <w:rsid w:val="007D02B4"/>
    <w:rsid w:val="007E0947"/>
    <w:rsid w:val="007E4374"/>
    <w:rsid w:val="007F0B8B"/>
    <w:rsid w:val="007F2E4F"/>
    <w:rsid w:val="007F4DC5"/>
    <w:rsid w:val="00804525"/>
    <w:rsid w:val="00825CCC"/>
    <w:rsid w:val="008322EA"/>
    <w:rsid w:val="0083777A"/>
    <w:rsid w:val="00843DD0"/>
    <w:rsid w:val="00854D09"/>
    <w:rsid w:val="00866976"/>
    <w:rsid w:val="0087019F"/>
    <w:rsid w:val="0087780E"/>
    <w:rsid w:val="0088677F"/>
    <w:rsid w:val="00893F91"/>
    <w:rsid w:val="008A20C0"/>
    <w:rsid w:val="008B32C6"/>
    <w:rsid w:val="008C2AC7"/>
    <w:rsid w:val="008C783D"/>
    <w:rsid w:val="008F1C1F"/>
    <w:rsid w:val="008F74D0"/>
    <w:rsid w:val="009035F4"/>
    <w:rsid w:val="00922C7F"/>
    <w:rsid w:val="00927990"/>
    <w:rsid w:val="009340FE"/>
    <w:rsid w:val="00934E2D"/>
    <w:rsid w:val="009354A6"/>
    <w:rsid w:val="00935BE5"/>
    <w:rsid w:val="00941F06"/>
    <w:rsid w:val="0094464B"/>
    <w:rsid w:val="00954D25"/>
    <w:rsid w:val="00960D3B"/>
    <w:rsid w:val="00963AD7"/>
    <w:rsid w:val="00970207"/>
    <w:rsid w:val="0098040B"/>
    <w:rsid w:val="0098358F"/>
    <w:rsid w:val="00986D60"/>
    <w:rsid w:val="009914E4"/>
    <w:rsid w:val="00997DD4"/>
    <w:rsid w:val="009A2779"/>
    <w:rsid w:val="009A48FD"/>
    <w:rsid w:val="009A5015"/>
    <w:rsid w:val="009A61F5"/>
    <w:rsid w:val="009B07F8"/>
    <w:rsid w:val="009B32BC"/>
    <w:rsid w:val="009C640F"/>
    <w:rsid w:val="009C7CEF"/>
    <w:rsid w:val="009D2CDF"/>
    <w:rsid w:val="009D70F0"/>
    <w:rsid w:val="009E73C7"/>
    <w:rsid w:val="009F6A08"/>
    <w:rsid w:val="00A022B5"/>
    <w:rsid w:val="00A15819"/>
    <w:rsid w:val="00A17CC6"/>
    <w:rsid w:val="00A24AC2"/>
    <w:rsid w:val="00A24DE7"/>
    <w:rsid w:val="00A30CA9"/>
    <w:rsid w:val="00A33792"/>
    <w:rsid w:val="00A37F34"/>
    <w:rsid w:val="00A44E84"/>
    <w:rsid w:val="00A45057"/>
    <w:rsid w:val="00A45267"/>
    <w:rsid w:val="00A57A3C"/>
    <w:rsid w:val="00A6467B"/>
    <w:rsid w:val="00A860F4"/>
    <w:rsid w:val="00A95162"/>
    <w:rsid w:val="00A9799F"/>
    <w:rsid w:val="00AA08E9"/>
    <w:rsid w:val="00AB5148"/>
    <w:rsid w:val="00AC013B"/>
    <w:rsid w:val="00AC331C"/>
    <w:rsid w:val="00AC7124"/>
    <w:rsid w:val="00AC7C90"/>
    <w:rsid w:val="00AD29CC"/>
    <w:rsid w:val="00AD2B58"/>
    <w:rsid w:val="00AD4F97"/>
    <w:rsid w:val="00AE046E"/>
    <w:rsid w:val="00AE21CC"/>
    <w:rsid w:val="00AE652B"/>
    <w:rsid w:val="00AF254F"/>
    <w:rsid w:val="00AF7928"/>
    <w:rsid w:val="00B020F5"/>
    <w:rsid w:val="00B0330A"/>
    <w:rsid w:val="00B07ED8"/>
    <w:rsid w:val="00B1366C"/>
    <w:rsid w:val="00B15F1F"/>
    <w:rsid w:val="00B50A15"/>
    <w:rsid w:val="00B6099E"/>
    <w:rsid w:val="00B64EC7"/>
    <w:rsid w:val="00B66917"/>
    <w:rsid w:val="00B71BB8"/>
    <w:rsid w:val="00B90E19"/>
    <w:rsid w:val="00B923E2"/>
    <w:rsid w:val="00B95DAE"/>
    <w:rsid w:val="00B97A77"/>
    <w:rsid w:val="00BC3507"/>
    <w:rsid w:val="00BC45C0"/>
    <w:rsid w:val="00BD6D1F"/>
    <w:rsid w:val="00BD7D19"/>
    <w:rsid w:val="00BF392E"/>
    <w:rsid w:val="00BF7047"/>
    <w:rsid w:val="00C0628A"/>
    <w:rsid w:val="00C07735"/>
    <w:rsid w:val="00C1025C"/>
    <w:rsid w:val="00C16043"/>
    <w:rsid w:val="00C1663B"/>
    <w:rsid w:val="00C16F0A"/>
    <w:rsid w:val="00C301F1"/>
    <w:rsid w:val="00C32823"/>
    <w:rsid w:val="00C36D6C"/>
    <w:rsid w:val="00C44944"/>
    <w:rsid w:val="00C50848"/>
    <w:rsid w:val="00C670FD"/>
    <w:rsid w:val="00C708E8"/>
    <w:rsid w:val="00C80623"/>
    <w:rsid w:val="00C82767"/>
    <w:rsid w:val="00C85935"/>
    <w:rsid w:val="00CA6B77"/>
    <w:rsid w:val="00CB0935"/>
    <w:rsid w:val="00CB4278"/>
    <w:rsid w:val="00CB49CC"/>
    <w:rsid w:val="00CC0E69"/>
    <w:rsid w:val="00CC2DA8"/>
    <w:rsid w:val="00CC4C9B"/>
    <w:rsid w:val="00CC7144"/>
    <w:rsid w:val="00CD0326"/>
    <w:rsid w:val="00CF1664"/>
    <w:rsid w:val="00CF2FE4"/>
    <w:rsid w:val="00D1042F"/>
    <w:rsid w:val="00D13E37"/>
    <w:rsid w:val="00D14474"/>
    <w:rsid w:val="00D15C6A"/>
    <w:rsid w:val="00D16C5B"/>
    <w:rsid w:val="00D1770D"/>
    <w:rsid w:val="00D200A2"/>
    <w:rsid w:val="00D35CA1"/>
    <w:rsid w:val="00D37AE4"/>
    <w:rsid w:val="00D37B4C"/>
    <w:rsid w:val="00D43D81"/>
    <w:rsid w:val="00D73AE7"/>
    <w:rsid w:val="00D9538D"/>
    <w:rsid w:val="00DA1F4A"/>
    <w:rsid w:val="00DA49B4"/>
    <w:rsid w:val="00DA59BE"/>
    <w:rsid w:val="00DB4D03"/>
    <w:rsid w:val="00DC3F99"/>
    <w:rsid w:val="00DE3579"/>
    <w:rsid w:val="00DE67C7"/>
    <w:rsid w:val="00DF18DB"/>
    <w:rsid w:val="00E1165E"/>
    <w:rsid w:val="00E121CD"/>
    <w:rsid w:val="00E13BF8"/>
    <w:rsid w:val="00E21559"/>
    <w:rsid w:val="00E2237E"/>
    <w:rsid w:val="00E348D7"/>
    <w:rsid w:val="00E42F23"/>
    <w:rsid w:val="00E545A7"/>
    <w:rsid w:val="00E5494F"/>
    <w:rsid w:val="00E5669C"/>
    <w:rsid w:val="00E60A82"/>
    <w:rsid w:val="00E63AAE"/>
    <w:rsid w:val="00E74102"/>
    <w:rsid w:val="00E82F2D"/>
    <w:rsid w:val="00E86034"/>
    <w:rsid w:val="00E93AE5"/>
    <w:rsid w:val="00EA160E"/>
    <w:rsid w:val="00EA2210"/>
    <w:rsid w:val="00EA7F55"/>
    <w:rsid w:val="00EB14F2"/>
    <w:rsid w:val="00EB6770"/>
    <w:rsid w:val="00EC4865"/>
    <w:rsid w:val="00EC636E"/>
    <w:rsid w:val="00EE06C7"/>
    <w:rsid w:val="00EE4281"/>
    <w:rsid w:val="00F32F3E"/>
    <w:rsid w:val="00F33926"/>
    <w:rsid w:val="00F35AB4"/>
    <w:rsid w:val="00F437BC"/>
    <w:rsid w:val="00F53897"/>
    <w:rsid w:val="00F54F9F"/>
    <w:rsid w:val="00F629B3"/>
    <w:rsid w:val="00F77B46"/>
    <w:rsid w:val="00F869B6"/>
    <w:rsid w:val="00F8765C"/>
    <w:rsid w:val="00FA35FB"/>
    <w:rsid w:val="00FA3E4C"/>
    <w:rsid w:val="00FB7568"/>
    <w:rsid w:val="00FD3A47"/>
    <w:rsid w:val="00FD4D4B"/>
    <w:rsid w:val="00FD6B42"/>
    <w:rsid w:val="00FE025A"/>
    <w:rsid w:val="00FE06BB"/>
    <w:rsid w:val="00FE0A7C"/>
    <w:rsid w:val="00FE0FF4"/>
    <w:rsid w:val="00FF54B1"/>
    <w:rsid w:val="00FF6BDB"/>
    <w:rsid w:val="02D25394"/>
    <w:rsid w:val="03053227"/>
    <w:rsid w:val="04FA52B7"/>
    <w:rsid w:val="06056C46"/>
    <w:rsid w:val="060B2948"/>
    <w:rsid w:val="07726F43"/>
    <w:rsid w:val="09BF6504"/>
    <w:rsid w:val="09CB2999"/>
    <w:rsid w:val="0D5B5138"/>
    <w:rsid w:val="0E785EBC"/>
    <w:rsid w:val="0F507B79"/>
    <w:rsid w:val="1071239B"/>
    <w:rsid w:val="120A40D6"/>
    <w:rsid w:val="12607E8C"/>
    <w:rsid w:val="16460104"/>
    <w:rsid w:val="16522ACF"/>
    <w:rsid w:val="175974DB"/>
    <w:rsid w:val="1A9526CC"/>
    <w:rsid w:val="1B477AD1"/>
    <w:rsid w:val="1B65127F"/>
    <w:rsid w:val="1D484C98"/>
    <w:rsid w:val="1F9A41E7"/>
    <w:rsid w:val="221029F2"/>
    <w:rsid w:val="274524CA"/>
    <w:rsid w:val="27482489"/>
    <w:rsid w:val="2B3C4E62"/>
    <w:rsid w:val="2B7239F7"/>
    <w:rsid w:val="2C5F3607"/>
    <w:rsid w:val="2E6F418B"/>
    <w:rsid w:val="2F6B535C"/>
    <w:rsid w:val="2F7F45C7"/>
    <w:rsid w:val="33011B85"/>
    <w:rsid w:val="33A157E5"/>
    <w:rsid w:val="353F6FE1"/>
    <w:rsid w:val="37A02A6E"/>
    <w:rsid w:val="387E5A39"/>
    <w:rsid w:val="3F775CF1"/>
    <w:rsid w:val="420B4B63"/>
    <w:rsid w:val="49E076C1"/>
    <w:rsid w:val="4AA1777F"/>
    <w:rsid w:val="4B923192"/>
    <w:rsid w:val="4C555ECC"/>
    <w:rsid w:val="4E4E5259"/>
    <w:rsid w:val="4E612B62"/>
    <w:rsid w:val="50DF522C"/>
    <w:rsid w:val="52215FBA"/>
    <w:rsid w:val="52455056"/>
    <w:rsid w:val="545C6276"/>
    <w:rsid w:val="547F6773"/>
    <w:rsid w:val="54AD5F96"/>
    <w:rsid w:val="54C05F9B"/>
    <w:rsid w:val="55003C6A"/>
    <w:rsid w:val="57163EF1"/>
    <w:rsid w:val="571D7FF8"/>
    <w:rsid w:val="5885559E"/>
    <w:rsid w:val="5E174A52"/>
    <w:rsid w:val="5E7A70C6"/>
    <w:rsid w:val="64CB3A47"/>
    <w:rsid w:val="64D143B8"/>
    <w:rsid w:val="674F2F0C"/>
    <w:rsid w:val="6867745B"/>
    <w:rsid w:val="69A40EC7"/>
    <w:rsid w:val="6A521C9F"/>
    <w:rsid w:val="6CD63CDB"/>
    <w:rsid w:val="6FC6486F"/>
    <w:rsid w:val="71482243"/>
    <w:rsid w:val="72AF3362"/>
    <w:rsid w:val="73BC4325"/>
    <w:rsid w:val="74252B9A"/>
    <w:rsid w:val="74462522"/>
    <w:rsid w:val="76EE55AC"/>
    <w:rsid w:val="777535CF"/>
    <w:rsid w:val="78F319C4"/>
    <w:rsid w:val="7A1872F7"/>
    <w:rsid w:val="7EF45957"/>
    <w:rsid w:val="7F0354F6"/>
    <w:rsid w:val="7F163E09"/>
    <w:rsid w:val="7FC602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line="300" w:lineRule="auto"/>
      <w:jc w:val="both"/>
    </w:pPr>
    <w:rPr>
      <w:rFonts w:ascii="Times New Roman" w:hAnsi="Times New Roman" w:eastAsia="楷体_GB2312" w:cs="Times New Roman"/>
      <w:spacing w:val="6"/>
      <w:sz w:val="25"/>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eastAsia="黑体"/>
      <w:bCs/>
      <w:snapToGrid w:val="0"/>
      <w:kern w:val="44"/>
      <w:szCs w:val="25"/>
    </w:rPr>
  </w:style>
  <w:style w:type="paragraph" w:styleId="3">
    <w:name w:val="heading 2"/>
    <w:basedOn w:val="1"/>
    <w:next w:val="1"/>
    <w:qFormat/>
    <w:uiPriority w:val="0"/>
    <w:pPr>
      <w:keepNext/>
      <w:keepLines/>
      <w:spacing w:before="260" w:after="260" w:line="413" w:lineRule="auto"/>
      <w:jc w:val="center"/>
      <w:outlineLvl w:val="1"/>
    </w:pPr>
    <w:rPr>
      <w:rFonts w:eastAsia="黑体"/>
      <w:szCs w:val="32"/>
    </w:rPr>
  </w:style>
  <w:style w:type="paragraph" w:styleId="4">
    <w:name w:val="heading 3"/>
    <w:basedOn w:val="1"/>
    <w:next w:val="1"/>
    <w:link w:val="27"/>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0"/>
    <w:pPr>
      <w:spacing w:before="0"/>
      <w:ind w:left="1500"/>
      <w:jc w:val="left"/>
    </w:pPr>
    <w:rPr>
      <w:rFonts w:ascii="Calibri" w:hAnsi="Calibri" w:cs="Calibri"/>
      <w:sz w:val="18"/>
      <w:szCs w:val="18"/>
    </w:rPr>
  </w:style>
  <w:style w:type="paragraph" w:styleId="6">
    <w:name w:val="Document Map"/>
    <w:basedOn w:val="1"/>
    <w:qFormat/>
    <w:uiPriority w:val="0"/>
    <w:pPr>
      <w:shd w:val="clear" w:color="auto" w:fill="000080"/>
    </w:pPr>
  </w:style>
  <w:style w:type="paragraph" w:styleId="7">
    <w:name w:val="annotation text"/>
    <w:basedOn w:val="1"/>
    <w:link w:val="30"/>
    <w:qFormat/>
    <w:uiPriority w:val="0"/>
    <w:pPr>
      <w:jc w:val="left"/>
    </w:pPr>
  </w:style>
  <w:style w:type="paragraph" w:styleId="8">
    <w:name w:val="toc 5"/>
    <w:basedOn w:val="1"/>
    <w:next w:val="1"/>
    <w:qFormat/>
    <w:uiPriority w:val="0"/>
    <w:pPr>
      <w:spacing w:before="0"/>
      <w:ind w:left="1000"/>
      <w:jc w:val="left"/>
    </w:pPr>
    <w:rPr>
      <w:rFonts w:ascii="Calibri" w:hAnsi="Calibri" w:cs="Calibri"/>
      <w:sz w:val="18"/>
      <w:szCs w:val="18"/>
    </w:rPr>
  </w:style>
  <w:style w:type="paragraph" w:styleId="9">
    <w:name w:val="toc 3"/>
    <w:basedOn w:val="1"/>
    <w:next w:val="1"/>
    <w:qFormat/>
    <w:uiPriority w:val="0"/>
    <w:pPr>
      <w:spacing w:before="0"/>
      <w:ind w:left="500"/>
      <w:jc w:val="left"/>
    </w:pPr>
    <w:rPr>
      <w:rFonts w:ascii="Calibri" w:hAnsi="Calibri" w:cs="Calibri"/>
      <w:i/>
      <w:iCs/>
      <w:sz w:val="20"/>
      <w:szCs w:val="20"/>
    </w:rPr>
  </w:style>
  <w:style w:type="paragraph" w:styleId="10">
    <w:name w:val="toc 8"/>
    <w:basedOn w:val="1"/>
    <w:next w:val="1"/>
    <w:qFormat/>
    <w:uiPriority w:val="0"/>
    <w:pPr>
      <w:spacing w:before="0"/>
      <w:ind w:left="1750"/>
      <w:jc w:val="left"/>
    </w:pPr>
    <w:rPr>
      <w:rFonts w:ascii="Calibri" w:hAnsi="Calibri" w:cs="Calibri"/>
      <w:sz w:val="18"/>
      <w:szCs w:val="18"/>
    </w:rPr>
  </w:style>
  <w:style w:type="paragraph" w:styleId="11">
    <w:name w:val="Date"/>
    <w:basedOn w:val="1"/>
    <w:next w:val="1"/>
    <w:qFormat/>
    <w:uiPriority w:val="0"/>
    <w:rPr>
      <w:rFonts w:ascii="宋体"/>
      <w:sz w:val="22"/>
    </w:rPr>
  </w:style>
  <w:style w:type="paragraph" w:styleId="12">
    <w:name w:val="Balloon Text"/>
    <w:basedOn w:val="1"/>
    <w:qFormat/>
    <w:uiPriority w:val="0"/>
    <w:rPr>
      <w:sz w:val="18"/>
      <w:szCs w:val="18"/>
    </w:rPr>
  </w:style>
  <w:style w:type="paragraph" w:styleId="13">
    <w:name w:val="footer"/>
    <w:basedOn w:val="1"/>
    <w:link w:val="28"/>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pPr>
      <w:spacing w:after="120"/>
      <w:jc w:val="left"/>
    </w:pPr>
    <w:rPr>
      <w:rFonts w:ascii="Calibri" w:hAnsi="Calibri" w:cs="Calibri"/>
      <w:b/>
      <w:bCs/>
      <w:caps/>
      <w:sz w:val="20"/>
      <w:szCs w:val="20"/>
    </w:rPr>
  </w:style>
  <w:style w:type="paragraph" w:styleId="16">
    <w:name w:val="toc 4"/>
    <w:basedOn w:val="1"/>
    <w:next w:val="1"/>
    <w:qFormat/>
    <w:uiPriority w:val="0"/>
    <w:pPr>
      <w:spacing w:before="0"/>
      <w:ind w:left="750"/>
      <w:jc w:val="left"/>
    </w:pPr>
    <w:rPr>
      <w:rFonts w:ascii="Calibri" w:hAnsi="Calibri" w:cs="Calibri"/>
      <w:sz w:val="18"/>
      <w:szCs w:val="18"/>
    </w:rPr>
  </w:style>
  <w:style w:type="paragraph" w:styleId="17">
    <w:name w:val="toc 6"/>
    <w:basedOn w:val="1"/>
    <w:next w:val="1"/>
    <w:qFormat/>
    <w:uiPriority w:val="0"/>
    <w:pPr>
      <w:spacing w:before="0"/>
      <w:ind w:left="1250"/>
      <w:jc w:val="left"/>
    </w:pPr>
    <w:rPr>
      <w:rFonts w:ascii="Calibri" w:hAnsi="Calibri" w:cs="Calibri"/>
      <w:sz w:val="18"/>
      <w:szCs w:val="18"/>
    </w:rPr>
  </w:style>
  <w:style w:type="paragraph" w:styleId="18">
    <w:name w:val="toc 2"/>
    <w:basedOn w:val="1"/>
    <w:next w:val="1"/>
    <w:qFormat/>
    <w:uiPriority w:val="39"/>
    <w:pPr>
      <w:spacing w:before="0"/>
      <w:ind w:left="250"/>
      <w:jc w:val="left"/>
    </w:pPr>
    <w:rPr>
      <w:rFonts w:ascii="Calibri" w:hAnsi="Calibri" w:cs="Calibri"/>
      <w:smallCaps/>
      <w:sz w:val="20"/>
      <w:szCs w:val="20"/>
    </w:rPr>
  </w:style>
  <w:style w:type="paragraph" w:styleId="19">
    <w:name w:val="toc 9"/>
    <w:basedOn w:val="1"/>
    <w:next w:val="1"/>
    <w:qFormat/>
    <w:uiPriority w:val="0"/>
    <w:pPr>
      <w:spacing w:before="0"/>
      <w:ind w:left="2000"/>
      <w:jc w:val="left"/>
    </w:pPr>
    <w:rPr>
      <w:rFonts w:ascii="Calibri" w:hAnsi="Calibri" w:cs="Calibri"/>
      <w:sz w:val="18"/>
      <w:szCs w:val="18"/>
    </w:rPr>
  </w:style>
  <w:style w:type="paragraph" w:styleId="20">
    <w:name w:val="annotation subject"/>
    <w:basedOn w:val="7"/>
    <w:next w:val="7"/>
    <w:qFormat/>
    <w:uiPriority w:val="0"/>
    <w:rPr>
      <w:b/>
      <w:bCs/>
    </w:rPr>
  </w:style>
  <w:style w:type="character" w:styleId="23">
    <w:name w:val="page number"/>
    <w:basedOn w:val="22"/>
    <w:qFormat/>
    <w:uiPriority w:val="0"/>
  </w:style>
  <w:style w:type="character" w:styleId="24">
    <w:name w:val="FollowedHyperlink"/>
    <w:qFormat/>
    <w:uiPriority w:val="0"/>
    <w:rPr>
      <w:color w:val="800080"/>
      <w:u w:val="single"/>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3 Char"/>
    <w:link w:val="4"/>
    <w:qFormat/>
    <w:uiPriority w:val="0"/>
    <w:rPr>
      <w:rFonts w:eastAsia="楷体_GB2312"/>
      <w:b/>
      <w:bCs/>
      <w:spacing w:val="6"/>
      <w:sz w:val="32"/>
      <w:szCs w:val="32"/>
    </w:rPr>
  </w:style>
  <w:style w:type="character" w:customStyle="1" w:styleId="28">
    <w:name w:val="页脚 Char"/>
    <w:link w:val="13"/>
    <w:qFormat/>
    <w:uiPriority w:val="0"/>
    <w:rPr>
      <w:rFonts w:eastAsia="楷体_GB2312"/>
      <w:spacing w:val="6"/>
      <w:sz w:val="18"/>
      <w:szCs w:val="18"/>
    </w:rPr>
  </w:style>
  <w:style w:type="character" w:customStyle="1" w:styleId="29">
    <w:name w:val="批注文字 Char Char"/>
    <w:qFormat/>
    <w:uiPriority w:val="0"/>
    <w:rPr>
      <w:rFonts w:eastAsia="楷体_GB2312"/>
      <w:spacing w:val="6"/>
      <w:sz w:val="25"/>
      <w:szCs w:val="24"/>
    </w:rPr>
  </w:style>
  <w:style w:type="character" w:customStyle="1" w:styleId="30">
    <w:name w:val="批注文字 Char"/>
    <w:link w:val="7"/>
    <w:qFormat/>
    <w:uiPriority w:val="0"/>
    <w:rPr>
      <w:rFonts w:eastAsia="楷体_GB2312"/>
      <w:spacing w:val="6"/>
      <w:sz w:val="25"/>
      <w:szCs w:val="24"/>
    </w:rPr>
  </w:style>
  <w:style w:type="paragraph" w:customStyle="1" w:styleId="31">
    <w:name w:val="样式7"/>
    <w:basedOn w:val="3"/>
    <w:qFormat/>
    <w:uiPriority w:val="0"/>
    <w:pPr>
      <w:numPr>
        <w:ilvl w:val="0"/>
        <w:numId w:val="2"/>
      </w:numPr>
    </w:pPr>
  </w:style>
  <w:style w:type="paragraph" w:customStyle="1" w:styleId="32">
    <w:name w:val="样式1"/>
    <w:basedOn w:val="3"/>
    <w:qFormat/>
    <w:uiPriority w:val="0"/>
    <w:pPr>
      <w:numPr>
        <w:ilvl w:val="0"/>
        <w:numId w:val="3"/>
      </w:numPr>
    </w:pPr>
  </w:style>
  <w:style w:type="paragraph" w:customStyle="1" w:styleId="33">
    <w:name w:val="彩色底纹 - 强调文字颜色 61"/>
    <w:basedOn w:val="2"/>
    <w:next w:val="1"/>
    <w:qFormat/>
    <w:uiPriority w:val="0"/>
    <w:pPr>
      <w:widowControl/>
      <w:numPr>
        <w:ilvl w:val="0"/>
        <w:numId w:val="0"/>
      </w:numPr>
      <w:spacing w:before="480" w:after="0" w:line="276" w:lineRule="auto"/>
      <w:jc w:val="left"/>
      <w:outlineLvl w:val="9"/>
    </w:pPr>
    <w:rPr>
      <w:rFonts w:ascii="Cambria" w:hAnsi="Cambria" w:eastAsia="宋体"/>
      <w:b/>
      <w:snapToGrid/>
      <w:color w:val="365F91"/>
      <w:spacing w:val="0"/>
      <w:kern w:val="0"/>
      <w:sz w:val="28"/>
      <w:szCs w:val="28"/>
    </w:rPr>
  </w:style>
  <w:style w:type="paragraph" w:customStyle="1" w:styleId="34">
    <w:name w:val="样式5"/>
    <w:basedOn w:val="3"/>
    <w:qFormat/>
    <w:uiPriority w:val="0"/>
    <w:pPr>
      <w:numPr>
        <w:ilvl w:val="0"/>
        <w:numId w:val="4"/>
      </w:numPr>
    </w:pPr>
  </w:style>
  <w:style w:type="paragraph" w:customStyle="1" w:styleId="35">
    <w:name w:val="样式3"/>
    <w:basedOn w:val="3"/>
    <w:qFormat/>
    <w:uiPriority w:val="0"/>
    <w:pPr>
      <w:numPr>
        <w:ilvl w:val="0"/>
        <w:numId w:val="5"/>
      </w:numPr>
    </w:pPr>
  </w:style>
  <w:style w:type="paragraph" w:customStyle="1" w:styleId="36">
    <w:name w:val="样式4"/>
    <w:basedOn w:val="3"/>
    <w:qFormat/>
    <w:uiPriority w:val="0"/>
    <w:pPr>
      <w:numPr>
        <w:ilvl w:val="0"/>
        <w:numId w:val="6"/>
      </w:numPr>
    </w:pPr>
  </w:style>
  <w:style w:type="paragraph" w:customStyle="1" w:styleId="37">
    <w:name w:val="Char"/>
    <w:basedOn w:val="1"/>
    <w:qFormat/>
    <w:uiPriority w:val="0"/>
    <w:pPr>
      <w:widowControl/>
      <w:spacing w:before="0" w:after="160" w:line="240" w:lineRule="exact"/>
      <w:jc w:val="left"/>
    </w:pPr>
    <w:rPr>
      <w:rFonts w:ascii="Verdana" w:hAnsi="Verdana" w:eastAsia="宋体"/>
      <w:spacing w:val="0"/>
      <w:sz w:val="20"/>
      <w:szCs w:val="20"/>
      <w:lang w:eastAsia="en-US"/>
    </w:rPr>
  </w:style>
  <w:style w:type="paragraph" w:customStyle="1" w:styleId="38">
    <w:name w:val="样式6"/>
    <w:basedOn w:val="3"/>
    <w:qFormat/>
    <w:uiPriority w:val="0"/>
    <w:pPr>
      <w:numPr>
        <w:ilvl w:val="0"/>
        <w:numId w:val="7"/>
      </w:numPr>
    </w:pPr>
  </w:style>
  <w:style w:type="paragraph" w:customStyle="1" w:styleId="39">
    <w:name w:val="Body Single"/>
    <w:qFormat/>
    <w:uiPriority w:val="0"/>
    <w:pPr>
      <w:widowControl w:val="0"/>
      <w:tabs>
        <w:tab w:val="left" w:pos="705"/>
        <w:tab w:val="left" w:pos="1440"/>
        <w:tab w:val="left" w:pos="2304"/>
        <w:tab w:val="right" w:pos="10425"/>
      </w:tabs>
      <w:jc w:val="both"/>
    </w:pPr>
    <w:rPr>
      <w:rFonts w:ascii="Times New Roman" w:hAnsi="Times New Roman" w:eastAsia="宋体" w:cs="Times New Roman"/>
      <w:snapToGrid w:val="0"/>
      <w:color w:val="000000"/>
      <w:sz w:val="24"/>
      <w:lang w:val="en-US" w:eastAsia="en-US" w:bidi="ar-SA"/>
    </w:rPr>
  </w:style>
  <w:style w:type="paragraph" w:customStyle="1" w:styleId="40">
    <w:name w:val="列出段落1"/>
    <w:basedOn w:val="1"/>
    <w:qFormat/>
    <w:uiPriority w:val="72"/>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46</Pages>
  <Words>4808</Words>
  <Characters>27411</Characters>
  <Lines>228</Lines>
  <Paragraphs>64</Paragraphs>
  <TotalTime>8</TotalTime>
  <ScaleCrop>false</ScaleCrop>
  <LinksUpToDate>false</LinksUpToDate>
  <CharactersWithSpaces>32155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2016-03-22T08:49:00Z</dcterms:created>
  <dc:creator>www.jujumao.com</dc:creator>
  <cp:lastModifiedBy>杨程</cp:lastModifiedBy>
  <cp:lastPrinted>2019-08-28T08:01:00Z</cp:lastPrinted>
  <dcterms:modified xsi:type="dcterms:W3CDTF">2019-08-28T11:11:14Z</dcterms:modified>
  <dc:title>四川科新机电股份有限公司</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